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235F"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OLE_LINK1"/>
    </w:p>
    <w:p w14:paraId="73BB0E85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427CFC73">
      <w:pPr>
        <w:jc w:val="left"/>
        <w:rPr>
          <w:rFonts w:hint="eastAsia" w:ascii="仿宋" w:hAnsi="仿宋" w:eastAsia="仿宋"/>
          <w:sz w:val="24"/>
          <w:szCs w:val="24"/>
        </w:rPr>
      </w:pPr>
    </w:p>
    <w:p w14:paraId="07DE1CA3">
      <w:pPr>
        <w:jc w:val="left"/>
        <w:rPr>
          <w:rFonts w:hint="eastAsia" w:ascii="仿宋" w:hAnsi="仿宋" w:eastAsia="仿宋"/>
          <w:sz w:val="24"/>
          <w:szCs w:val="24"/>
        </w:rPr>
      </w:pPr>
    </w:p>
    <w:p w14:paraId="097F98D2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4E5D76B3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3035FB4D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3D402523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6BE9B05F">
      <w:pPr>
        <w:jc w:val="left"/>
        <w:rPr>
          <w:rFonts w:hint="eastAsia" w:ascii="仿宋" w:hAnsi="仿宋" w:eastAsia="仿宋"/>
          <w:sz w:val="32"/>
          <w:szCs w:val="32"/>
        </w:rPr>
      </w:pPr>
    </w:p>
    <w:bookmarkEnd w:id="0"/>
    <w:p w14:paraId="51F5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60" w:lineRule="exact"/>
        <w:jc w:val="center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德律备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〔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/>
          <w:color w:val="auto"/>
          <w:sz w:val="32"/>
          <w:szCs w:val="32"/>
        </w:rPr>
        <w:t>号</w:t>
      </w:r>
    </w:p>
    <w:p w14:paraId="31C0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spacing w:val="40"/>
          <w:sz w:val="44"/>
          <w:szCs w:val="44"/>
        </w:rPr>
      </w:pPr>
      <w:r>
        <w:rPr>
          <w:rFonts w:ascii="Times New Roman" w:hAnsi="方正小标宋简体" w:eastAsia="方正小标宋简体" w:cs="Times New Roman"/>
          <w:spacing w:val="40"/>
          <w:sz w:val="44"/>
          <w:szCs w:val="44"/>
        </w:rPr>
        <w:t>律师服务收费备案公告</w:t>
      </w:r>
    </w:p>
    <w:p w14:paraId="49CC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1120"/>
        <w:textAlignment w:val="auto"/>
        <w:rPr>
          <w:rFonts w:ascii="Times New Roman" w:hAnsi="Times New Roman" w:eastAsia="方正小标宋简体" w:cs="Times New Roman"/>
          <w:sz w:val="28"/>
          <w:szCs w:val="28"/>
        </w:rPr>
      </w:pPr>
    </w:p>
    <w:p w14:paraId="2AB1220D">
      <w:pPr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根据司法部、国家发展和改革委员会、国家市场监督管理总局《关于进一步规范律师服务收费的意见》的通知（司发通</w:t>
      </w:r>
      <w:r>
        <w:rPr>
          <w:rFonts w:ascii="Times New Roman" w:hAnsi="Times New Roman" w:eastAsia="仿宋" w:cs="Times New Roman"/>
          <w:sz w:val="32"/>
          <w:szCs w:val="32"/>
        </w:rPr>
        <w:t>[2021]87</w:t>
      </w:r>
      <w:r>
        <w:rPr>
          <w:rFonts w:ascii="Times New Roman" w:hAnsi="仿宋" w:eastAsia="仿宋" w:cs="Times New Roman"/>
          <w:sz w:val="32"/>
          <w:szCs w:val="32"/>
        </w:rPr>
        <w:t>号）及省上相关规定，本会对</w:t>
      </w:r>
      <w:r>
        <w:rPr>
          <w:rFonts w:hint="eastAsia" w:ascii="Times New Roman" w:hAnsi="仿宋" w:eastAsia="仿宋" w:cs="Times New Roman"/>
          <w:sz w:val="32"/>
          <w:szCs w:val="32"/>
        </w:rPr>
        <w:t>上海</w:t>
      </w:r>
      <w:r>
        <w:rPr>
          <w:rFonts w:ascii="Times New Roman" w:hAnsi="仿宋" w:eastAsia="仿宋" w:cs="Times New Roman"/>
          <w:sz w:val="32"/>
          <w:szCs w:val="32"/>
        </w:rPr>
        <w:t>中联（德阳）律师事务所提交的《</w:t>
      </w:r>
      <w:r>
        <w:rPr>
          <w:rFonts w:hint="eastAsia" w:ascii="Times New Roman" w:hAnsi="仿宋" w:eastAsia="仿宋" w:cs="Times New Roman"/>
          <w:sz w:val="32"/>
          <w:szCs w:val="32"/>
        </w:rPr>
        <w:t>上海</w:t>
      </w:r>
      <w:r>
        <w:rPr>
          <w:rFonts w:ascii="Times New Roman" w:hAnsi="仿宋" w:eastAsia="仿宋" w:cs="Times New Roman"/>
          <w:sz w:val="32"/>
          <w:szCs w:val="32"/>
        </w:rPr>
        <w:t>中联（德阳）律师事务所律师服务收费标准》已审查完毕，相关内容符合相关规定，本会同意备案人的备案申请，该收费标准自备案之日起至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日前有效，该公告可在德阳市律师协会官方网站查询，特此公告。</w:t>
      </w:r>
    </w:p>
    <w:p w14:paraId="529799D6">
      <w:pPr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9D7877E">
      <w:pPr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宋体" w:eastAsia="宋体" w:cs="Times New Roman"/>
          <w:b/>
          <w:sz w:val="32"/>
          <w:szCs w:val="32"/>
        </w:rPr>
        <w:t>上海中联</w:t>
      </w:r>
      <w:r>
        <w:rPr>
          <w:rFonts w:ascii="Times New Roman" w:hAnsi="宋体" w:eastAsia="宋体" w:cs="Times New Roman"/>
          <w:b/>
          <w:sz w:val="32"/>
          <w:szCs w:val="32"/>
        </w:rPr>
        <w:t>（德阳）律师事务所律师服务收费标准</w:t>
      </w:r>
    </w:p>
    <w:p w14:paraId="30C0D2D5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7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为规范本所律师服务收费行为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根据《四川省律师服务收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费标准制订指引》的规定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制定本收费标准。</w:t>
      </w:r>
    </w:p>
    <w:p w14:paraId="03A1E42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一</w:t>
      </w:r>
      <w:r>
        <w:rPr>
          <w:rFonts w:ascii="黑体" w:hAnsi="黑体" w:eastAsia="黑体" w:cs="Times New Roman"/>
          <w:bCs/>
          <w:spacing w:val="-50"/>
          <w:sz w:val="32"/>
          <w:szCs w:val="32"/>
          <w:lang w:eastAsia="zh-CN"/>
        </w:rPr>
        <w:t>、</w:t>
      </w: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代理民事诉讼</w:t>
      </w:r>
      <w:r>
        <w:rPr>
          <w:rFonts w:ascii="黑体" w:hAnsi="黑体" w:eastAsia="黑体" w:cs="Times New Roman"/>
          <w:bCs/>
          <w:spacing w:val="-55"/>
          <w:sz w:val="32"/>
          <w:szCs w:val="32"/>
          <w:lang w:eastAsia="zh-CN"/>
        </w:rPr>
        <w:t>、</w:t>
      </w: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仲裁案件</w:t>
      </w:r>
    </w:p>
    <w:p w14:paraId="04180909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1.不涉及财产关系的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基准收费标准为3000元-5</w:t>
      </w: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00000元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/</w:t>
      </w:r>
      <w:r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  <w:t>件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  <w:t>可合理上下浮动。</w:t>
      </w:r>
    </w:p>
    <w:p w14:paraId="39EDB49A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2.涉及财产关系的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按照争议标的额分段按比例累加收费：</w:t>
      </w:r>
    </w:p>
    <w:p w14:paraId="3E309C3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8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3"/>
          <w:sz w:val="32"/>
          <w:szCs w:val="32"/>
          <w:lang w:eastAsia="zh-CN"/>
        </w:rPr>
        <w:t>（1）10万元以</w:t>
      </w:r>
      <w:bookmarkStart w:id="1" w:name="_GoBack"/>
      <w:bookmarkEnd w:id="1"/>
      <w:r>
        <w:rPr>
          <w:rFonts w:ascii="Times New Roman" w:hAnsi="Times New Roman" w:eastAsia="仿宋" w:cs="Times New Roman"/>
          <w:spacing w:val="-13"/>
          <w:sz w:val="32"/>
          <w:szCs w:val="32"/>
          <w:lang w:eastAsia="zh-CN"/>
        </w:rPr>
        <w:t>下部分（含10万元）收费比例为</w:t>
      </w:r>
      <w:r>
        <w:rPr>
          <w:rFonts w:ascii="Times New Roman" w:hAnsi="Times New Roman" w:eastAsia="仿宋" w:cs="Times New Roman"/>
          <w:spacing w:val="-14"/>
          <w:sz w:val="32"/>
          <w:szCs w:val="32"/>
          <w:lang w:eastAsia="zh-CN"/>
        </w:rPr>
        <w:t>8%-15%，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最低收费不得低于3000元；</w:t>
      </w:r>
    </w:p>
    <w:p w14:paraId="2985EAE1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（2）10万元至100万元部分（含100万元）为6%-10%；</w:t>
      </w:r>
    </w:p>
    <w:p w14:paraId="16283769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6"/>
          <w:sz w:val="32"/>
          <w:szCs w:val="32"/>
          <w:lang w:eastAsia="zh-CN"/>
        </w:rPr>
        <w:t>（3）100万元至1000万元部分（含500万元）为4%-8%；</w:t>
      </w:r>
    </w:p>
    <w:p w14:paraId="1BD5E9AA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6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8"/>
          <w:sz w:val="32"/>
          <w:szCs w:val="32"/>
          <w:lang w:eastAsia="zh-CN"/>
        </w:rPr>
        <w:t>（4）1000万元至5000万元部分（含</w:t>
      </w:r>
      <w:r>
        <w:rPr>
          <w:rFonts w:ascii="Times New Roman" w:hAnsi="Times New Roman" w:eastAsia="仿宋" w:cs="Times New Roman"/>
          <w:spacing w:val="-19"/>
          <w:sz w:val="32"/>
          <w:szCs w:val="32"/>
          <w:lang w:eastAsia="zh-CN"/>
        </w:rPr>
        <w:t>5000万元）为2%-6%；</w:t>
      </w:r>
    </w:p>
    <w:p w14:paraId="7E8E119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6"/>
          <w:sz w:val="32"/>
          <w:szCs w:val="32"/>
          <w:lang w:eastAsia="zh-CN"/>
        </w:rPr>
        <w:t>（5）5000万元以上部分为1%-4%。</w:t>
      </w:r>
    </w:p>
    <w:p w14:paraId="6D41E4B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5"/>
          <w:sz w:val="32"/>
          <w:szCs w:val="32"/>
          <w:lang w:eastAsia="zh-CN"/>
        </w:rPr>
        <w:t>3.上述两项收费标准是代理民事诉讼案件（</w:t>
      </w:r>
      <w:r>
        <w:rPr>
          <w:rFonts w:ascii="Times New Roman" w:hAnsi="Times New Roman" w:eastAsia="仿宋" w:cs="Times New Roman"/>
          <w:spacing w:val="14"/>
          <w:sz w:val="32"/>
          <w:szCs w:val="32"/>
          <w:lang w:eastAsia="zh-CN"/>
        </w:rPr>
        <w:t>包括律师代理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刑事附带民事诉讼部分的案件）一审阶段的收费标准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单独代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理二审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再审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发回重审一审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发回重审二审案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件的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或者代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理仲裁案件</w:t>
      </w:r>
      <w:r>
        <w:rPr>
          <w:rFonts w:ascii="Times New Roman" w:hAnsi="Times New Roman" w:eastAsia="仿宋" w:cs="Times New Roman"/>
          <w:spacing w:val="-2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或者代理不予执行或撤销仲裁裁决书的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按照上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述一审阶段收费标准执行</w:t>
      </w:r>
      <w:r>
        <w:rPr>
          <w:rFonts w:ascii="Times New Roman" w:hAnsi="Times New Roman" w:eastAsia="仿宋" w:cs="Times New Roman"/>
          <w:spacing w:val="-43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本所代理同一案件的不同审理阶段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的</w:t>
      </w:r>
      <w:r>
        <w:rPr>
          <w:rFonts w:ascii="Times New Roman" w:hAnsi="Times New Roman" w:eastAsia="仿宋" w:cs="Times New Roman"/>
          <w:spacing w:val="-2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可以给予下浮不超过30%的优惠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同时代理本诉、本请求和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反诉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反请求案件的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反诉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反请求按标的额以民事诉讼案件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一审阶段的收费标准酌减收费。</w:t>
      </w:r>
    </w:p>
    <w:p w14:paraId="487F0FA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4.涉外（含涉港</w:t>
      </w:r>
      <w:r>
        <w:rPr>
          <w:rFonts w:ascii="Times New Roman" w:hAnsi="Times New Roman" w:eastAsia="仿宋" w:cs="Times New Roman"/>
          <w:spacing w:val="-4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澳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台）案件的收费标准</w:t>
      </w:r>
      <w:r>
        <w:rPr>
          <w:rFonts w:ascii="Times New Roman" w:hAnsi="Times New Roman" w:eastAsia="仿宋" w:cs="Times New Roman"/>
          <w:spacing w:val="-2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原则上可以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按照民事诉讼案件一审阶段的收费标准上浮比例500%执行。如果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涉及到多语种法律服务的，可以在本收费标准基础上再上浮不超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过5倍收费</w:t>
      </w:r>
      <w:r>
        <w:rPr>
          <w:rFonts w:ascii="Times New Roman" w:hAnsi="Times New Roman" w:eastAsia="仿宋" w:cs="Times New Roman"/>
          <w:spacing w:val="-45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经委托人同意，也可以由本所参照外国或港、澳、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台地区律师事务所驻我国代表机构办理同类法律事务的收费标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准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与委托人协商确定收费数额。</w:t>
      </w:r>
    </w:p>
    <w:p w14:paraId="64A9F0F6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5.对于重大、疑难、复杂及律师工作量大的民事诉讼、仲裁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案件</w:t>
      </w:r>
      <w:r>
        <w:rPr>
          <w:rFonts w:ascii="Times New Roman" w:hAnsi="Times New Roman" w:eastAsia="仿宋" w:cs="Times New Roman"/>
          <w:spacing w:val="-2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可以在民事诉讼案件一审阶段的收费标准基础上再上浮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不超过10倍收费</w:t>
      </w:r>
      <w:r>
        <w:rPr>
          <w:rFonts w:ascii="Times New Roman" w:hAnsi="Times New Roman" w:eastAsia="仿宋" w:cs="Times New Roman"/>
          <w:spacing w:val="-48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下列案件为重大、疑难、复杂民事诉讼、仲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裁案件：</w:t>
      </w:r>
    </w:p>
    <w:p w14:paraId="43291476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4" w:firstLineChars="200"/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（1）由中级以上人民法院受理一审的案件；</w:t>
      </w:r>
    </w:p>
    <w:p w14:paraId="1E2E3C2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（2）当事人一方人数在3人及3人以上的共同诉讼案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件；</w:t>
      </w:r>
    </w:p>
    <w:p w14:paraId="2FDD2640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（3）知识产权纠纷案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不正当竞争纠纷案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、商誉权、名誉权、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建设工程合同、股权、与公司有关的纠纷等案件；</w:t>
      </w:r>
    </w:p>
    <w:p w14:paraId="61E9ADA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（4）取证困难的案件；</w:t>
      </w:r>
    </w:p>
    <w:p w14:paraId="2D36B27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3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（5）新类型案件；</w:t>
      </w:r>
    </w:p>
    <w:p w14:paraId="0A033526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（6）涉及两个以上法律关系的案件；</w:t>
      </w:r>
    </w:p>
    <w:p w14:paraId="7F856A7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（7）涉及专业知识</w:t>
      </w:r>
      <w:r>
        <w:rPr>
          <w:rFonts w:ascii="Times New Roman" w:hAnsi="Times New Roman" w:eastAsia="仿宋" w:cs="Times New Roman"/>
          <w:spacing w:val="-2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需要聘请具备非法律专业知识的人员协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助方能办理的案件；</w:t>
      </w:r>
    </w:p>
    <w:p w14:paraId="0D1044A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（8）其他经本所与委托人协商</w:t>
      </w:r>
      <w:r>
        <w:rPr>
          <w:rFonts w:ascii="Times New Roman" w:hAnsi="Times New Roman" w:eastAsia="仿宋" w:cs="Times New Roman"/>
          <w:spacing w:val="-2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双方认为属于重大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疑难、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复杂的民事诉讼、仲裁案件。</w:t>
      </w:r>
    </w:p>
    <w:p w14:paraId="293E595E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6.民事诉讼、仲裁案件可以实行风险代理收费。涉及财产关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系的</w:t>
      </w:r>
      <w:r>
        <w:rPr>
          <w:rFonts w:ascii="Times New Roman" w:hAnsi="Times New Roman" w:eastAsia="仿宋" w:cs="Times New Roman"/>
          <w:spacing w:val="-2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风险代理各个环节收取的服务费合计最高金额应当符合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下列规定：</w:t>
      </w:r>
    </w:p>
    <w:p w14:paraId="636CF7D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16" w:firstLineChars="200"/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（1）标的额不足人民币100万元的部分，不得超过标的额的18%；</w:t>
      </w:r>
    </w:p>
    <w:p w14:paraId="09B5B06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16" w:firstLineChars="200"/>
        <w:rPr>
          <w:rFonts w:ascii="Times New Roman" w:hAnsi="Times New Roman" w:eastAsia="仿宋" w:cs="Times New Roman"/>
          <w:spacing w:val="-8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（2）标的额在人民币100万元以上不足500万元的部分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不得</w:t>
      </w:r>
      <w:r>
        <w:rPr>
          <w:rFonts w:ascii="Times New Roman" w:hAnsi="Times New Roman" w:eastAsia="仿宋" w:cs="Times New Roman"/>
          <w:spacing w:val="-8"/>
          <w:sz w:val="32"/>
          <w:szCs w:val="32"/>
          <w:lang w:eastAsia="zh-CN"/>
        </w:rPr>
        <w:t>超过标的额的15%；</w:t>
      </w:r>
    </w:p>
    <w:p w14:paraId="5C9775A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08" w:firstLineChars="200"/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8"/>
          <w:sz w:val="32"/>
          <w:szCs w:val="32"/>
          <w:lang w:eastAsia="zh-CN"/>
        </w:rPr>
        <w:t>（3）标的额在人民币500万元以上不足1000万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元</w:t>
      </w:r>
      <w:r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  <w:t>的部分</w:t>
      </w:r>
      <w:r>
        <w:rPr>
          <w:rFonts w:ascii="Times New Roman" w:hAnsi="Times New Roman" w:eastAsia="仿宋" w:cs="Times New Roman"/>
          <w:spacing w:val="-34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  <w:t>不得超过标的额的12%；</w:t>
      </w:r>
    </w:p>
    <w:p w14:paraId="101BFED2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1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7"/>
          <w:sz w:val="32"/>
          <w:szCs w:val="32"/>
          <w:lang w:eastAsia="zh-CN"/>
        </w:rPr>
        <w:t>（4）标的额在人民币1000万元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以上不足5000万元的部分，不得超过标的额的9%；</w:t>
      </w:r>
    </w:p>
    <w:p w14:paraId="74C23309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（5）标的额</w:t>
      </w: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在人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民币5000万元以上的部分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不得超过标的额的6%。</w:t>
      </w:r>
    </w:p>
    <w:p w14:paraId="1301534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根据相关规定</w:t>
      </w:r>
      <w:r>
        <w:rPr>
          <w:rFonts w:ascii="Times New Roman" w:hAnsi="Times New Roman" w:eastAsia="仿宋" w:cs="Times New Roman"/>
          <w:spacing w:val="-1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刑事诉讼案件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行政诉讼案件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国家赔偿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案件</w:t>
      </w:r>
      <w:r>
        <w:rPr>
          <w:rFonts w:ascii="Times New Roman" w:hAnsi="Times New Roman" w:eastAsia="仿宋" w:cs="Times New Roman"/>
          <w:spacing w:val="-46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群体性诉讼案件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婚姻继承案件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以及请求给予社会保险待遇</w:t>
      </w:r>
      <w:r>
        <w:rPr>
          <w:rFonts w:ascii="Times New Roman" w:hAnsi="Times New Roman" w:eastAsia="仿宋" w:cs="Times New Roman"/>
          <w:spacing w:val="-43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最低生活保障待遇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赡养费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抚养费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扶养费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抚恤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金</w:t>
      </w:r>
      <w:r>
        <w:rPr>
          <w:rFonts w:ascii="Times New Roman" w:hAnsi="Times New Roman" w:eastAsia="仿宋" w:cs="Times New Roman"/>
          <w:spacing w:val="-47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救济金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工伤赔偿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劳动报酬的案件不得实行或者变相实行风险代理。</w:t>
      </w:r>
    </w:p>
    <w:p w14:paraId="1C93BC40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7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7.民事诉讼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仲裁案件可以采取计时方式收取律师费</w:t>
      </w:r>
      <w:r>
        <w:rPr>
          <w:rFonts w:ascii="Times New Roman" w:hAnsi="Times New Roman" w:eastAsia="仿宋" w:cs="Times New Roman"/>
          <w:spacing w:val="-47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计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时收费的标准为500元-10000元/小时；第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4款规定的涉外（含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涉港、澳、台）案件及第5款规定的重大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疑难、复杂及律师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工作量大的民事诉讼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仲裁案件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可以在前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述收费标准基础上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再上浮不超过5倍收费。</w:t>
      </w:r>
    </w:p>
    <w:p w14:paraId="4025BED8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采取计时方式收取法律服务费的，律师向委托人了解案情、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调查取证</w:t>
      </w:r>
      <w:r>
        <w:rPr>
          <w:rFonts w:ascii="Times New Roman" w:hAnsi="Times New Roman" w:eastAsia="仿宋" w:cs="Times New Roman"/>
          <w:spacing w:val="-4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查阅案卷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起草诉讼文书和法律文件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会见被限制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人身自由的人员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出庭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参与调解和谈判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商议工作方案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代</w:t>
      </w:r>
      <w:r>
        <w:rPr>
          <w:rFonts w:ascii="Times New Roman" w:hAnsi="Times New Roman" w:eastAsia="仿宋" w:cs="Times New Roman"/>
          <w:spacing w:val="13"/>
          <w:sz w:val="32"/>
          <w:szCs w:val="32"/>
          <w:lang w:eastAsia="zh-CN"/>
        </w:rPr>
        <w:t>办各类手续以及办理其他相关法律事务的必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要时间应当计入计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时范围；律师在本地办理法律事务的路途时间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律师乘坐交通</w:t>
      </w:r>
      <w:r>
        <w:rPr>
          <w:rFonts w:ascii="Times New Roman" w:hAnsi="Times New Roman" w:eastAsia="仿宋" w:cs="Times New Roman"/>
          <w:spacing w:val="13"/>
          <w:sz w:val="32"/>
          <w:szCs w:val="32"/>
          <w:lang w:eastAsia="zh-CN"/>
        </w:rPr>
        <w:t>工具去外地办理委托事项所花费的时间及必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要停留时间减半计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入计时范围。律师应当及时、准确填写工作日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志形成计时清单，</w:t>
      </w:r>
      <w:r>
        <w:rPr>
          <w:rFonts w:ascii="Times New Roman" w:hAnsi="Times New Roman" w:eastAsia="仿宋" w:cs="Times New Roman"/>
          <w:spacing w:val="13"/>
          <w:sz w:val="32"/>
          <w:szCs w:val="32"/>
          <w:lang w:eastAsia="zh-CN"/>
        </w:rPr>
        <w:t>报送委托人的计时清单应当经过主管合伙人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或者事务所负责人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审核。</w:t>
      </w:r>
    </w:p>
    <w:p w14:paraId="1F2370D1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承办律师为二人以上的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以各自的计费标准和计费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工作时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间分别计算。</w:t>
      </w:r>
    </w:p>
    <w:p w14:paraId="203BDBE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8.执行案件：</w:t>
      </w:r>
    </w:p>
    <w:p w14:paraId="68C4E186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（1）单独承办的执行案件，根据执行标的额，按一审阶段收费标准收费；</w:t>
      </w:r>
    </w:p>
    <w:p w14:paraId="19B3E66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（2）曾承办一审或二审的案件，根据执行标的额，按一审阶段收费标准优惠10%-50%收费。执行难度很大，执行程序复杂的重大执行案件，按一审阶段收费标准3倍收费；</w:t>
      </w:r>
    </w:p>
    <w:p w14:paraId="2D602329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（3）代理执行案件亦可按照第6款收费标准进行风险代理或计时收费；</w:t>
      </w:r>
    </w:p>
    <w:p w14:paraId="56E4374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（4）执行过程中涉及衍生诉讼的</w:t>
      </w:r>
      <w:r>
        <w:rPr>
          <w:rFonts w:ascii="Times New Roman" w:hAnsi="Times New Roman" w:eastAsia="仿宋" w:cs="Times New Roman"/>
          <w:spacing w:val="-2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可以另行单独收费。</w:t>
      </w:r>
    </w:p>
    <w:p w14:paraId="67400755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9.代理民事申诉案件，按照代理民事诉讼案件按一审阶段收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费标准1-5倍收费；重大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疑难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复杂及律师工作量大的民事申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诉案件可以上浮不超过5倍收费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亦可按上述规定进行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风险代理或者计时收费。</w:t>
      </w:r>
    </w:p>
    <w:p w14:paraId="7CC66FA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二、代理行政案件</w:t>
      </w:r>
    </w:p>
    <w:p w14:paraId="4485CB0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1.代理行政诉讼一审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二审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发回重审、复议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听证等案件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的收费标准</w:t>
      </w:r>
      <w:r>
        <w:rPr>
          <w:rFonts w:ascii="Times New Roman" w:hAnsi="Times New Roman" w:eastAsia="仿宋" w:cs="Times New Roman"/>
          <w:spacing w:val="-2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参照上述民事案件的收费标准执行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但不得适用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风险代理收费。</w:t>
      </w:r>
    </w:p>
    <w:p w14:paraId="003C4392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8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2.代理行政案件的申诉</w:t>
      </w:r>
      <w:r>
        <w:rPr>
          <w:rFonts w:ascii="Times New Roman" w:hAnsi="Times New Roman" w:eastAsia="仿宋" w:cs="Times New Roman"/>
          <w:spacing w:val="-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参照民事申诉案件的收费标准执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行</w:t>
      </w:r>
      <w:r>
        <w:rPr>
          <w:rFonts w:ascii="Times New Roman" w:hAnsi="Times New Roman" w:eastAsia="仿宋" w:cs="Times New Roman"/>
          <w:spacing w:val="-3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但不得适用风险代理收费。</w:t>
      </w:r>
    </w:p>
    <w:p w14:paraId="361F68B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三、代理非诉讼业务</w:t>
      </w:r>
    </w:p>
    <w:p w14:paraId="5212B83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8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代理非诉讼业务可采取计时收费</w:t>
      </w:r>
      <w:r>
        <w:rPr>
          <w:rFonts w:ascii="Times New Roman" w:hAnsi="Times New Roman" w:eastAsia="仿宋" w:cs="Times New Roman"/>
          <w:spacing w:val="-43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计件收费或按涉及金额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收费。</w:t>
      </w:r>
    </w:p>
    <w:p w14:paraId="796D18D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1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1.计时收费的标准为500元-10000元/小时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涉外或疑难、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复杂及律师工作量大的法律服务项目可以在前述标准基础上再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上浮不超过5倍收费。</w:t>
      </w:r>
    </w:p>
    <w:p w14:paraId="062A7F3B">
      <w:pPr>
        <w:pStyle w:val="2"/>
        <w:keepNext w:val="0"/>
        <w:keepLines w:val="0"/>
        <w:pageBreakBefore w:val="0"/>
        <w:wordWrap/>
        <w:overflowPunct/>
        <w:topLinePunct/>
        <w:bidi w:val="0"/>
        <w:adjustRightInd w:val="0"/>
        <w:snapToGrid w:val="0"/>
        <w:spacing w:line="560" w:lineRule="exact"/>
        <w:ind w:firstLine="68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2.计件收费的</w:t>
      </w:r>
      <w:r>
        <w:rPr>
          <w:rFonts w:ascii="Times New Roman" w:hAnsi="Times New Roman" w:eastAsia="仿宋" w:cs="Times New Roman"/>
          <w:spacing w:val="-1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委托人和本所可以根据涉及金额大小和项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目复杂程度及律师工作量大小在以下最低收费的基础上合理上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浮</w:t>
      </w:r>
      <w:r>
        <w:rPr>
          <w:rFonts w:ascii="Times New Roman" w:hAnsi="Times New Roman" w:eastAsia="仿宋" w:cs="Times New Roman"/>
          <w:spacing w:val="-2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但上浮不得超过最低收费标准的10倍。</w:t>
      </w:r>
    </w:p>
    <w:p w14:paraId="67E132A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（1）法律咨询及简单的合同修改，最低收费不低于1000元；</w:t>
      </w:r>
    </w:p>
    <w:p w14:paraId="087988A7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（2）起草合同或者修改比较复杂的合同，最低收费不低于3000元；</w:t>
      </w:r>
    </w:p>
    <w:p w14:paraId="28F3902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（3）参加简单的项目谈判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最低收费不低于5000元；</w:t>
      </w:r>
    </w:p>
    <w:p w14:paraId="2880DB72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（4）就简单的单一事项出具法律意见书，最低收费不低于5000元；</w:t>
      </w:r>
    </w:p>
    <w:p w14:paraId="1A061EA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8" w:firstLineChars="200"/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3"/>
          <w:sz w:val="32"/>
          <w:szCs w:val="32"/>
          <w:lang w:eastAsia="zh-CN"/>
        </w:rPr>
        <w:t>（5）对需要在初步尽职调查基础上出具法律意见书，最低收费不低于10000元。</w:t>
      </w:r>
    </w:p>
    <w:p w14:paraId="1071D319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3.投资融资</w:t>
      </w:r>
      <w:r>
        <w:rPr>
          <w:rFonts w:ascii="Times New Roman" w:hAnsi="Times New Roman" w:eastAsia="仿宋" w:cs="Times New Roman"/>
          <w:spacing w:val="-4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改制上市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兼并重组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清算注销</w:t>
      </w:r>
      <w:r>
        <w:rPr>
          <w:rFonts w:ascii="Times New Roman" w:hAnsi="Times New Roman" w:eastAsia="仿宋" w:cs="Times New Roman"/>
          <w:spacing w:val="-4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重大工程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建设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涉外业务等需要进行较为全面的尽职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调查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设计交易结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构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参与项目谈判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起草主要交易文件或者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出具法律意见书等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非诉讼法律服务项目</w:t>
      </w: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按照所涉及金额分段按比例累加收</w:t>
      </w: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费：</w:t>
      </w:r>
    </w:p>
    <w:p w14:paraId="67EFDF03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（1）100万元以下部分（含100万元）收费不高于200000元；</w:t>
      </w:r>
    </w:p>
    <w:p w14:paraId="283D976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（2）100万元至500万元部分（含500万元）不高于10%；</w:t>
      </w:r>
    </w:p>
    <w:p w14:paraId="43079A87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（3）500万元至1000万元部分（含1000万元）不高于7%；</w:t>
      </w:r>
    </w:p>
    <w:p w14:paraId="03330E9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（4）1000万元至5000万元部分（含5000万元）不高于5%；</w:t>
      </w:r>
    </w:p>
    <w:p w14:paraId="347423F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（5）5000万元至1亿元部分（含1亿元）不高于3%；</w:t>
      </w:r>
    </w:p>
    <w:p w14:paraId="3FA12CEA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572" w:firstLineChars="200"/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7"/>
          <w:sz w:val="32"/>
          <w:szCs w:val="32"/>
          <w:lang w:eastAsia="zh-CN"/>
        </w:rPr>
        <w:t>（6）1亿元以上部分不高于1%。</w:t>
      </w:r>
    </w:p>
    <w:p w14:paraId="23FAF1AB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四、担任常年法律顾问</w:t>
      </w:r>
    </w:p>
    <w:p w14:paraId="48296C8B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担任常年法律顾问可采取年度固定收费</w:t>
      </w:r>
      <w:r>
        <w:rPr>
          <w:rFonts w:ascii="Times New Roman" w:hAnsi="Times New Roman" w:eastAsia="仿宋" w:cs="Times New Roman"/>
          <w:spacing w:val="-47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计时收费方式。</w:t>
      </w:r>
    </w:p>
    <w:p w14:paraId="79634F25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1.若采用年度固定收费方式的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根据预计的律师工作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时间、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顾问单位规模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顾问单位上年度营业额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顾问单位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法律风险程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度</w:t>
      </w:r>
      <w:r>
        <w:rPr>
          <w:rFonts w:ascii="Times New Roman" w:hAnsi="Times New Roman" w:eastAsia="仿宋" w:cs="Times New Roman"/>
          <w:spacing w:val="-4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律师事务所成本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律师法律服务水平及律师工作量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工作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复杂程度等因素确定年度收费额</w:t>
      </w:r>
      <w:r>
        <w:rPr>
          <w:rFonts w:ascii="Times New Roman" w:hAnsi="Times New Roman" w:eastAsia="仿宋" w:cs="Times New Roman"/>
          <w:spacing w:val="-24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按照以下标准收取：</w:t>
      </w:r>
    </w:p>
    <w:p w14:paraId="09E8EA39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(1)担任机关</w:t>
      </w:r>
      <w:r>
        <w:rPr>
          <w:rFonts w:ascii="Times New Roman" w:hAnsi="Times New Roman" w:eastAsia="仿宋" w:cs="Times New Roman"/>
          <w:spacing w:val="-38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事业单位常年法律顾问</w:t>
      </w:r>
      <w:r>
        <w:rPr>
          <w:rFonts w:ascii="Times New Roman" w:hAnsi="Times New Roman" w:eastAsia="仿宋" w:cs="Times New Roman"/>
          <w:spacing w:val="-2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1万元-100万元/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年</w:t>
      </w:r>
      <w:r>
        <w:rPr>
          <w:rFonts w:ascii="Times New Roman" w:hAnsi="Times New Roman" w:eastAsia="仿宋" w:cs="Times New Roman"/>
          <w:spacing w:val="-3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可合理上浮；</w:t>
      </w:r>
    </w:p>
    <w:p w14:paraId="0E53FB1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3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(2)担任大型企业常年法律顾问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5万元-80万元/年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可合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理上浮；</w:t>
      </w:r>
    </w:p>
    <w:p w14:paraId="68A7E536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(3)担任中型企业常年法律顾问</w:t>
      </w:r>
      <w:r>
        <w:rPr>
          <w:rFonts w:ascii="Times New Roman" w:hAnsi="Times New Roman" w:eastAsia="仿宋" w:cs="Times New Roman"/>
          <w:spacing w:val="-3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3万元-60万元/年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2"/>
          <w:sz w:val="32"/>
          <w:szCs w:val="32"/>
          <w:lang w:eastAsia="zh-CN"/>
        </w:rPr>
        <w:t>可合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理上浮；</w:t>
      </w:r>
    </w:p>
    <w:p w14:paraId="67F49298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3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(4)担任小（微）型企业常年法律顾问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1"/>
          <w:sz w:val="32"/>
          <w:szCs w:val="32"/>
          <w:lang w:eastAsia="zh-CN"/>
        </w:rPr>
        <w:t>0.5万元-20万元/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年</w:t>
      </w:r>
      <w:r>
        <w:rPr>
          <w:rFonts w:ascii="Times New Roman" w:hAnsi="Times New Roman" w:eastAsia="仿宋" w:cs="Times New Roman"/>
          <w:spacing w:val="-3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可合理上浮。</w:t>
      </w:r>
    </w:p>
    <w:p w14:paraId="642BB4E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8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上述收费标准允许合理上浮，通常情况下上浮部分不得超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过收费标准上限的2倍；顾问单位超出上述标准上限进行选聘、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招标或者确系法律服务工作复杂、工作量大或律师服务做出重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大贡献，且经顾问单位同意，可上浮部分按照顾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问单位实际选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聘或招标金额确定或不超过收费标准上限的5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倍确定。</w:t>
      </w:r>
    </w:p>
    <w:p w14:paraId="056096E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70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7"/>
          <w:sz w:val="32"/>
          <w:szCs w:val="32"/>
          <w:lang w:eastAsia="zh-CN"/>
        </w:rPr>
        <w:t>2.采用年度计时收费方式，计时收费的标准为500</w:t>
      </w:r>
      <w:r>
        <w:rPr>
          <w:rFonts w:ascii="Times New Roman" w:hAnsi="Times New Roman" w:eastAsia="仿宋" w:cs="Times New Roman"/>
          <w:spacing w:val="42"/>
          <w:sz w:val="32"/>
          <w:szCs w:val="32"/>
          <w:lang w:eastAsia="zh-CN"/>
        </w:rPr>
        <w:t>元</w:t>
      </w:r>
      <w:r>
        <w:rPr>
          <w:rFonts w:ascii="Times New Roman" w:hAnsi="Times New Roman" w:eastAsia="仿宋" w:cs="Times New Roman"/>
          <w:spacing w:val="17"/>
          <w:sz w:val="32"/>
          <w:szCs w:val="32"/>
          <w:lang w:eastAsia="zh-CN"/>
        </w:rPr>
        <w:t>-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10000元/小时；涉外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证券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知识产权</w:t>
      </w:r>
      <w:r>
        <w:rPr>
          <w:rFonts w:ascii="Times New Roman" w:hAnsi="Times New Roman" w:eastAsia="仿宋" w:cs="Times New Roman"/>
          <w:spacing w:val="-5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税法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-4"/>
          <w:sz w:val="32"/>
          <w:szCs w:val="32"/>
          <w:lang w:eastAsia="zh-CN"/>
        </w:rPr>
        <w:t>合规等专门领</w:t>
      </w:r>
      <w:r>
        <w:rPr>
          <w:rFonts w:ascii="Times New Roman" w:hAnsi="Times New Roman" w:eastAsia="仿宋" w:cs="Times New Roman"/>
          <w:spacing w:val="13"/>
          <w:sz w:val="32"/>
          <w:szCs w:val="32"/>
          <w:lang w:eastAsia="zh-CN"/>
        </w:rPr>
        <w:t>域或专项法律事务的常年法律顾问的小时费率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可以在前述标准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基础上再上浮不超过3倍收费。</w:t>
      </w:r>
    </w:p>
    <w:p w14:paraId="443F205B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计时收费的有效工作时间按民事、仲裁案件计时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方式计算。</w:t>
      </w:r>
    </w:p>
    <w:p w14:paraId="55C97DCB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五、办理刑事诉讼案件</w:t>
      </w:r>
    </w:p>
    <w:p w14:paraId="56FC9B67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办理刑事诉讼案件可采取计件收费</w:t>
      </w:r>
      <w:r>
        <w:rPr>
          <w:rFonts w:ascii="Times New Roman" w:hAnsi="Times New Roman" w:eastAsia="仿宋" w:cs="Times New Roman"/>
          <w:spacing w:val="-43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计时收费方式；担任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刑事案件自诉人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被害人的代理人的案件或刑事附</w:t>
      </w:r>
      <w:r>
        <w:rPr>
          <w:rFonts w:ascii="Times New Roman" w:hAnsi="Times New Roman" w:eastAsia="仿宋" w:cs="Times New Roman"/>
          <w:spacing w:val="10"/>
          <w:sz w:val="32"/>
          <w:szCs w:val="32"/>
          <w:lang w:eastAsia="zh-CN"/>
        </w:rPr>
        <w:t>带民事诉讼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案件</w:t>
      </w:r>
      <w:r>
        <w:rPr>
          <w:rFonts w:ascii="Times New Roman" w:hAnsi="Times New Roman" w:eastAsia="仿宋" w:cs="Times New Roman"/>
          <w:spacing w:val="-2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也可以按标的额的比例收费。</w:t>
      </w:r>
    </w:p>
    <w:p w14:paraId="6459E107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1.担任刑事案件犯罪嫌疑人</w:t>
      </w:r>
      <w:r>
        <w:rPr>
          <w:rFonts w:ascii="Times New Roman" w:hAnsi="Times New Roman" w:eastAsia="仿宋" w:cs="Times New Roman"/>
          <w:spacing w:val="-3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被告人的辩护人：</w:t>
      </w:r>
    </w:p>
    <w:p w14:paraId="5A285462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（1）侦查阶段（含检察院自侦阶段）：1万元-50万元/件；</w:t>
      </w:r>
    </w:p>
    <w:p w14:paraId="5BCE1F4F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（2）审查起诉阶段：1万元-50万元/件；</w:t>
      </w:r>
    </w:p>
    <w:p w14:paraId="39C8C0A8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（3）一审阶段：1万元-50万元/件；</w:t>
      </w:r>
    </w:p>
    <w:p w14:paraId="75921B0D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（4）二审阶段：1万元-50万元/件；</w:t>
      </w:r>
    </w:p>
    <w:p w14:paraId="5E3BB4D0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（5）发回重审（一审阶段）：1万元-50万元/件；</w:t>
      </w:r>
    </w:p>
    <w:p w14:paraId="58B2692F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（6）发回重审（二审阶段）：1万元-50万元/件；</w:t>
      </w:r>
    </w:p>
    <w:p w14:paraId="01715FAF">
      <w:pPr>
        <w:pStyle w:val="2"/>
        <w:keepNext w:val="0"/>
        <w:keepLines w:val="0"/>
        <w:pageBreakBefore w:val="0"/>
        <w:widowControl w:val="0"/>
        <w:wordWrap/>
        <w:overflowPunct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（7）代为提起刑事申诉：1万元-50万元/件；</w:t>
      </w:r>
    </w:p>
    <w:p w14:paraId="5D7214E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（8）再审案件（一审阶段</w:t>
      </w:r>
      <w:r>
        <w:rPr>
          <w:rFonts w:ascii="Times New Roman" w:hAnsi="Times New Roman" w:eastAsia="仿宋" w:cs="Times New Roman"/>
          <w:spacing w:val="17"/>
          <w:sz w:val="32"/>
          <w:szCs w:val="32"/>
          <w:lang w:eastAsia="zh-CN"/>
        </w:rPr>
        <w:t>）：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1万元-50万元/件；</w:t>
      </w:r>
    </w:p>
    <w:p w14:paraId="6BF8302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2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（9）再审案件（二审阶段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）：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1万元-5</w:t>
      </w:r>
      <w:r>
        <w:rPr>
          <w:rFonts w:ascii="Times New Roman" w:hAnsi="Times New Roman" w:eastAsia="仿宋" w:cs="Times New Roman"/>
          <w:spacing w:val="-6"/>
          <w:sz w:val="32"/>
          <w:szCs w:val="32"/>
          <w:lang w:eastAsia="zh-CN"/>
        </w:rPr>
        <w:t>0万元/件；</w:t>
      </w:r>
    </w:p>
    <w:p w14:paraId="0763E01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对于重大、疑难、复杂刑事案件（多个罪名或多起犯罪事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实</w:t>
      </w:r>
      <w:r>
        <w:rPr>
          <w:rFonts w:ascii="Times New Roman" w:hAnsi="Times New Roman" w:eastAsia="仿宋" w:cs="Times New Roman"/>
          <w:spacing w:val="-51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网络案件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金融案件等</w:t>
      </w:r>
      <w:r>
        <w:rPr>
          <w:rFonts w:ascii="Times New Roman" w:hAnsi="Times New Roman" w:eastAsia="仿宋" w:cs="Times New Roman"/>
          <w:spacing w:val="-12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pacing w:val="-1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每阶段可合理上浮收费标准，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但不得高于该阶段收费标准上限的5倍。若案情简单的，可下浮不超过 20%(含)收费。</w:t>
      </w:r>
    </w:p>
    <w:p w14:paraId="745EFD6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3.担任刑事案件自诉人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被害人的代理人：3万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元-30万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元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每件</w:t>
      </w:r>
      <w:r>
        <w:rPr>
          <w:rFonts w:ascii="Times New Roman" w:hAnsi="Times New Roman" w:eastAsia="仿宋" w:cs="Times New Roman"/>
          <w:spacing w:val="-2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也可按标的额的百分比进行收费（具体收费比例可参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照民事案件一审收费比例收取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由委托人与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本所协商确定</w:t>
      </w:r>
      <w:r>
        <w:rPr>
          <w:rFonts w:ascii="Times New Roman" w:hAnsi="Times New Roman" w:eastAsia="仿宋" w:cs="Times New Roman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但</w:t>
      </w:r>
      <w:r>
        <w:rPr>
          <w:rFonts w:ascii="Times New Roman" w:hAnsi="Times New Roman" w:eastAsia="仿宋" w:cs="Times New Roman"/>
          <w:spacing w:val="13"/>
          <w:sz w:val="32"/>
          <w:szCs w:val="32"/>
          <w:lang w:eastAsia="zh-CN"/>
        </w:rPr>
        <w:t>律师收取的服务费总金额不得低于相同标的额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民事案件一审应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当收取的费用）。</w:t>
      </w:r>
    </w:p>
    <w:p w14:paraId="1B3A91F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6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4.既担任刑事案件犯罪嫌疑人</w:t>
      </w:r>
      <w:r>
        <w:rPr>
          <w:rFonts w:ascii="Times New Roman" w:hAnsi="Times New Roman" w:eastAsia="仿宋" w:cs="Times New Roman"/>
          <w:spacing w:val="-4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被告人的辩护人</w:t>
      </w:r>
      <w:r>
        <w:rPr>
          <w:rFonts w:ascii="Times New Roman" w:hAnsi="Times New Roman" w:eastAsia="仿宋" w:cs="Times New Roman"/>
          <w:spacing w:val="-2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又担任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刑事附带民事案件被告方的代理人的</w:t>
      </w:r>
      <w:r>
        <w:rPr>
          <w:rFonts w:ascii="Times New Roman" w:hAnsi="Times New Roman" w:eastAsia="仿宋" w:cs="Times New Roman"/>
          <w:spacing w:val="-2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刑事案件部分的收费按</w:t>
      </w: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上述第1条规定收取；刑事附带民事案件的律师费用按照民事、仲裁案件的标准收取。</w:t>
      </w:r>
    </w:p>
    <w:p w14:paraId="73AEB2A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5.双方协商采用计时收费方式计费的，计时收</w:t>
      </w:r>
      <w:r>
        <w:rPr>
          <w:rFonts w:ascii="Times New Roman" w:hAnsi="Times New Roman" w:eastAsia="仿宋" w:cs="Times New Roman"/>
          <w:spacing w:val="2"/>
          <w:sz w:val="32"/>
          <w:szCs w:val="32"/>
          <w:lang w:eastAsia="zh-CN"/>
        </w:rPr>
        <w:t>费的有效工作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时间按民事</w:t>
      </w:r>
      <w:r>
        <w:rPr>
          <w:rFonts w:ascii="Times New Roman" w:hAnsi="Times New Roman" w:eastAsia="仿宋" w:cs="Times New Roman"/>
          <w:spacing w:val="-51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仲裁案件计时方式计算。</w:t>
      </w:r>
    </w:p>
    <w:p w14:paraId="1FBB4B8F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六、代理国家赔偿案件</w:t>
      </w:r>
    </w:p>
    <w:p w14:paraId="64D07758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4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代理国家赔偿案件可实行计件收费</w:t>
      </w:r>
      <w:r>
        <w:rPr>
          <w:rFonts w:ascii="Times New Roman" w:hAnsi="Times New Roman" w:eastAsia="仿宋" w:cs="Times New Roman"/>
          <w:spacing w:val="-22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每件收取不超过10万元；</w:t>
      </w: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也可按标的额的百分比进行收费（具体收费比例可参照民事案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件一审收费比例收取</w:t>
      </w:r>
      <w:r>
        <w:rPr>
          <w:rFonts w:ascii="Times New Roman" w:hAnsi="Times New Roman" w:eastAsia="仿宋" w:cs="Times New Roman"/>
          <w:spacing w:val="-3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由委托人与律师事务所协商确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定</w:t>
      </w:r>
      <w:r>
        <w:rPr>
          <w:rFonts w:ascii="Times New Roman" w:hAnsi="Times New Roman" w:eastAsia="仿宋" w:cs="Times New Roman"/>
          <w:spacing w:val="-3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但律</w:t>
      </w:r>
      <w:r>
        <w:rPr>
          <w:rFonts w:ascii="Times New Roman" w:hAnsi="Times New Roman" w:eastAsia="仿宋" w:cs="Times New Roman"/>
          <w:spacing w:val="11"/>
          <w:sz w:val="32"/>
          <w:szCs w:val="32"/>
          <w:lang w:eastAsia="zh-CN"/>
        </w:rPr>
        <w:t>师事务所收取的服务费总金额不得低于相同标的额民事案件一</w:t>
      </w:r>
      <w:r>
        <w:rPr>
          <w:rFonts w:ascii="Times New Roman" w:hAnsi="Times New Roman" w:eastAsia="仿宋" w:cs="Times New Roman"/>
          <w:spacing w:val="8"/>
          <w:sz w:val="32"/>
          <w:szCs w:val="32"/>
          <w:lang w:eastAsia="zh-CN"/>
        </w:rPr>
        <w:t>审应当收取的费用）。</w:t>
      </w:r>
    </w:p>
    <w:p w14:paraId="61E9117E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七、专业或专家律师、资深律师</w:t>
      </w:r>
    </w:p>
    <w:p w14:paraId="05E46B5A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88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12"/>
          <w:sz w:val="32"/>
          <w:szCs w:val="32"/>
          <w:lang w:eastAsia="zh-CN"/>
        </w:rPr>
        <w:t>委托人选定或要求本所指派四川省律师协会评选的专业律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师或具有中</w:t>
      </w:r>
      <w:r>
        <w:rPr>
          <w:rFonts w:ascii="Times New Roman" w:hAnsi="Times New Roman" w:eastAsia="仿宋" w:cs="Times New Roman"/>
          <w:spacing w:val="-36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高级职称的律师</w:t>
      </w:r>
      <w:r>
        <w:rPr>
          <w:rFonts w:ascii="Times New Roman" w:hAnsi="Times New Roman" w:eastAsia="仿宋" w:cs="Times New Roman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9"/>
          <w:sz w:val="32"/>
          <w:szCs w:val="32"/>
          <w:lang w:eastAsia="zh-CN"/>
        </w:rPr>
        <w:t>执业十年以上的律师办理或参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与办理的案件（除风险代理外</w:t>
      </w:r>
      <w:r>
        <w:rPr>
          <w:rFonts w:ascii="Times New Roman" w:hAnsi="Times New Roman" w:eastAsia="仿宋" w:cs="Times New Roman"/>
          <w:spacing w:val="-22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pacing w:val="-1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7"/>
          <w:sz w:val="32"/>
          <w:szCs w:val="32"/>
          <w:lang w:eastAsia="zh-CN"/>
        </w:rPr>
        <w:t>可按照上述第一条至第六条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规定的律师服务收费标准上浮不超过5倍收费。</w:t>
      </w:r>
    </w:p>
    <w:p w14:paraId="1F3E5500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八、非律师服务收费</w:t>
      </w:r>
    </w:p>
    <w:p w14:paraId="35E2DA98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6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律师办理上述案件过程中发生的诉讼费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仲裁费、鉴定</w:t>
      </w: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费、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公证费</w:t>
      </w:r>
      <w:r>
        <w:rPr>
          <w:rFonts w:ascii="Times New Roman" w:hAnsi="Times New Roman" w:eastAsia="仿宋" w:cs="Times New Roman"/>
          <w:spacing w:val="-3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查档费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翻译费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异地办案差旅费</w:t>
      </w:r>
      <w:r>
        <w:rPr>
          <w:rFonts w:ascii="Times New Roman" w:hAnsi="Times New Roman" w:eastAsia="仿宋" w:cs="Times New Roman"/>
          <w:spacing w:val="-5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跨境通讯费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专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家论证费及律师事务所代委托人支付/垫付的其他费用</w:t>
      </w:r>
      <w:r>
        <w:rPr>
          <w:rFonts w:ascii="Times New Roman" w:hAnsi="Times New Roman" w:eastAsia="仿宋" w:cs="Times New Roman"/>
          <w:spacing w:val="-2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4"/>
          <w:sz w:val="32"/>
          <w:szCs w:val="32"/>
          <w:lang w:eastAsia="zh-CN"/>
        </w:rPr>
        <w:t>不属于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律师服务收费</w:t>
      </w:r>
      <w:r>
        <w:rPr>
          <w:rFonts w:ascii="Times New Roman" w:hAnsi="Times New Roman" w:eastAsia="仿宋" w:cs="Times New Roman"/>
          <w:spacing w:val="-3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1"/>
          <w:sz w:val="32"/>
          <w:szCs w:val="32"/>
          <w:lang w:eastAsia="zh-CN"/>
        </w:rPr>
        <w:t>由委托人另行支付。</w:t>
      </w:r>
    </w:p>
    <w:p w14:paraId="46A10254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48" w:firstLineChars="200"/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pacing w:val="2"/>
          <w:sz w:val="32"/>
          <w:szCs w:val="32"/>
          <w:lang w:eastAsia="zh-CN"/>
        </w:rPr>
        <w:t>九、附则</w:t>
      </w:r>
    </w:p>
    <w:p w14:paraId="09E0AF01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1.委托人系本所顾问单位的，或委托人与本所具有长期合作关系的，或代理案件事实类似的批量案件的，或参与招投标、比选、竞争性谈判、竞争性磋商的，在本收费标准基础上可合理下浮动不超过50%。</w:t>
      </w:r>
    </w:p>
    <w:p w14:paraId="1C3E4F51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2.本所在所内醒目位置公布已经备案的本所律师服务项目、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收费标准</w:t>
      </w:r>
      <w:r>
        <w:rPr>
          <w:rFonts w:ascii="Times New Roman" w:hAnsi="Times New Roman" w:eastAsia="仿宋" w:cs="Times New Roman"/>
          <w:spacing w:val="-23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自觉接受相关主管部门</w:t>
      </w:r>
      <w:r>
        <w:rPr>
          <w:rFonts w:ascii="Times New Roman" w:hAnsi="Times New Roman" w:eastAsia="仿宋" w:cs="Times New Roman"/>
          <w:spacing w:val="-5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pacing w:val="5"/>
          <w:sz w:val="32"/>
          <w:szCs w:val="32"/>
          <w:lang w:eastAsia="zh-CN"/>
        </w:rPr>
        <w:t>行业协会和社会的监督检</w:t>
      </w:r>
      <w:r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  <w:t>查。</w:t>
      </w:r>
    </w:p>
    <w:p w14:paraId="5302A79C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3.本所全部法律服务收费标准均应当按照本收费标准收费。</w:t>
      </w:r>
    </w:p>
    <w:p w14:paraId="3312850D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4.委托人与本所签订的委托代理合同中应明确载明服务内容、服务对象、收费项目、收费方式、收费数额或比例、付款和结算方式及争议解决方式等律师服务费收取的有关事项。</w:t>
      </w:r>
    </w:p>
    <w:p w14:paraId="22B69AE1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5.本所收取律师服务费应向委托人开具合法票据。</w:t>
      </w:r>
    </w:p>
    <w:p w14:paraId="71E85332">
      <w:pPr>
        <w:pStyle w:val="2"/>
        <w:keepNext w:val="0"/>
        <w:keepLines w:val="0"/>
        <w:pageBreakBefore w:val="0"/>
        <w:wordWrap/>
        <w:overflowPunct/>
        <w:bidi w:val="0"/>
        <w:adjustRightInd w:val="0"/>
        <w:snapToGrid w:val="0"/>
        <w:spacing w:line="560" w:lineRule="exact"/>
        <w:ind w:firstLine="652" w:firstLineChars="200"/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  <w:lang w:eastAsia="zh-CN"/>
        </w:rPr>
        <w:t>6.本收费标准由合伙人会议制订、解释和废止。</w:t>
      </w:r>
    </w:p>
    <w:p w14:paraId="1EC0F1AB">
      <w:pPr>
        <w:keepNext w:val="0"/>
        <w:keepLines w:val="0"/>
        <w:pageBreakBefore w:val="0"/>
        <w:widowControl/>
        <w:wordWrap/>
        <w:overflowPunct/>
        <w:bidi w:val="0"/>
        <w:adjustRightInd w:val="0"/>
        <w:snapToGrid w:val="0"/>
        <w:spacing w:line="560" w:lineRule="exact"/>
        <w:ind w:firstLine="652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pacing w:val="3"/>
          <w:sz w:val="32"/>
          <w:szCs w:val="32"/>
        </w:rPr>
        <w:t>7.本收费标准经德阳市律师协会备案，自备案之日起施行。</w:t>
      </w:r>
    </w:p>
    <w:p w14:paraId="47DCD3E0"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494F38FF">
      <w:pPr>
        <w:spacing w:line="520" w:lineRule="exact"/>
        <w:rPr>
          <w:rFonts w:ascii="Times New Roman" w:hAnsi="Times New Roman" w:eastAsia="仿宋" w:cs="Times New Roman"/>
          <w:sz w:val="28"/>
          <w:szCs w:val="36"/>
        </w:rPr>
      </w:pPr>
    </w:p>
    <w:p w14:paraId="66A7D12A">
      <w:pPr>
        <w:wordWrap w:val="0"/>
        <w:spacing w:line="520" w:lineRule="exact"/>
        <w:ind w:right="64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仿宋" w:eastAsia="仿宋" w:cs="Times New Roman"/>
          <w:sz w:val="32"/>
          <w:szCs w:val="32"/>
        </w:rPr>
        <w:t>德阳市律师协会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 xml:space="preserve">     </w:t>
      </w:r>
    </w:p>
    <w:p w14:paraId="283D0F61">
      <w:pPr>
        <w:wordWrap w:val="0"/>
        <w:spacing w:line="520" w:lineRule="exact"/>
        <w:ind w:right="64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840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D82ADBB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82ADBB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C08AE"/>
    <w:rsid w:val="00060B2C"/>
    <w:rsid w:val="00086D6F"/>
    <w:rsid w:val="000A5223"/>
    <w:rsid w:val="000E5C2B"/>
    <w:rsid w:val="00136F0F"/>
    <w:rsid w:val="00150461"/>
    <w:rsid w:val="00163348"/>
    <w:rsid w:val="001702D6"/>
    <w:rsid w:val="00176683"/>
    <w:rsid w:val="001B2CA9"/>
    <w:rsid w:val="001C1A96"/>
    <w:rsid w:val="002644D8"/>
    <w:rsid w:val="0026763C"/>
    <w:rsid w:val="00287CA0"/>
    <w:rsid w:val="002A714E"/>
    <w:rsid w:val="002A728B"/>
    <w:rsid w:val="002B64F3"/>
    <w:rsid w:val="002B66A4"/>
    <w:rsid w:val="002E0982"/>
    <w:rsid w:val="002F49BF"/>
    <w:rsid w:val="00344CAA"/>
    <w:rsid w:val="00347466"/>
    <w:rsid w:val="003517FF"/>
    <w:rsid w:val="003B4A86"/>
    <w:rsid w:val="003D7287"/>
    <w:rsid w:val="00404C3D"/>
    <w:rsid w:val="004128C2"/>
    <w:rsid w:val="004A1331"/>
    <w:rsid w:val="004C268B"/>
    <w:rsid w:val="004D1774"/>
    <w:rsid w:val="004D70C4"/>
    <w:rsid w:val="00506A65"/>
    <w:rsid w:val="005245C8"/>
    <w:rsid w:val="00557E26"/>
    <w:rsid w:val="00567584"/>
    <w:rsid w:val="00652317"/>
    <w:rsid w:val="006772E0"/>
    <w:rsid w:val="00677DBB"/>
    <w:rsid w:val="006C311F"/>
    <w:rsid w:val="006C6CD7"/>
    <w:rsid w:val="006D6BB3"/>
    <w:rsid w:val="006F75D1"/>
    <w:rsid w:val="007414D7"/>
    <w:rsid w:val="00751D1A"/>
    <w:rsid w:val="007752D3"/>
    <w:rsid w:val="007B2EEE"/>
    <w:rsid w:val="007D09B9"/>
    <w:rsid w:val="008542A3"/>
    <w:rsid w:val="00892619"/>
    <w:rsid w:val="008C65AC"/>
    <w:rsid w:val="008D60E0"/>
    <w:rsid w:val="00912D78"/>
    <w:rsid w:val="00915DD7"/>
    <w:rsid w:val="00967E3A"/>
    <w:rsid w:val="00970743"/>
    <w:rsid w:val="00986595"/>
    <w:rsid w:val="009928C2"/>
    <w:rsid w:val="009B0D09"/>
    <w:rsid w:val="009B2BF1"/>
    <w:rsid w:val="009C08AA"/>
    <w:rsid w:val="00A179A0"/>
    <w:rsid w:val="00A40DB8"/>
    <w:rsid w:val="00A5775E"/>
    <w:rsid w:val="00A75AA1"/>
    <w:rsid w:val="00A84814"/>
    <w:rsid w:val="00B447EF"/>
    <w:rsid w:val="00B718AA"/>
    <w:rsid w:val="00BB26EC"/>
    <w:rsid w:val="00BF6BC4"/>
    <w:rsid w:val="00C31312"/>
    <w:rsid w:val="00C42A1D"/>
    <w:rsid w:val="00C907B9"/>
    <w:rsid w:val="00CB26F6"/>
    <w:rsid w:val="00CE1660"/>
    <w:rsid w:val="00D0276C"/>
    <w:rsid w:val="00D17A9E"/>
    <w:rsid w:val="00D23FC9"/>
    <w:rsid w:val="00D246FF"/>
    <w:rsid w:val="00D40349"/>
    <w:rsid w:val="00D94AA5"/>
    <w:rsid w:val="00DC11B8"/>
    <w:rsid w:val="00E47E89"/>
    <w:rsid w:val="00E53727"/>
    <w:rsid w:val="00E64635"/>
    <w:rsid w:val="00E64CFC"/>
    <w:rsid w:val="00E7708B"/>
    <w:rsid w:val="00EA5D3A"/>
    <w:rsid w:val="00ED2478"/>
    <w:rsid w:val="00EF0008"/>
    <w:rsid w:val="00EF32BA"/>
    <w:rsid w:val="00F070A6"/>
    <w:rsid w:val="00F618B6"/>
    <w:rsid w:val="00F73074"/>
    <w:rsid w:val="00FB0721"/>
    <w:rsid w:val="00FE2E7F"/>
    <w:rsid w:val="396664A7"/>
    <w:rsid w:val="53992205"/>
    <w:rsid w:val="5CBF615D"/>
    <w:rsid w:val="5E7CB07C"/>
    <w:rsid w:val="69175FCF"/>
    <w:rsid w:val="6DEFEAF1"/>
    <w:rsid w:val="9E7F39A5"/>
    <w:rsid w:val="F9AC0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 Char"/>
    <w:basedOn w:val="10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4517</Words>
  <Characters>4788</Characters>
  <Lines>34</Lines>
  <Paragraphs>9</Paragraphs>
  <TotalTime>1</TotalTime>
  <ScaleCrop>false</ScaleCrop>
  <LinksUpToDate>false</LinksUpToDate>
  <CharactersWithSpaces>4817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2022-12-23T22:44:00Z</dcterms:created>
  <dc:creator>小木易</dc:creator>
  <cp:lastModifiedBy>twilight</cp:lastModifiedBy>
  <dcterms:modified xsi:type="dcterms:W3CDTF">2025-07-17T02:02:11Z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269DE7B9B2334AD28325EE07A2895F5F_13</vt:lpwstr>
  </property>
  <property fmtid="{D5CDD505-2E9C-101B-9397-08002B2CF9AE}" pid="4" name="KSOTemplateDocerSaveRecord">
    <vt:lpwstr>eyJoZGlkIjoiNDQ4MWQ2YzNmZjVhZWQxNmFkNTJhMGZmNzhkZmZiNWMiLCJ1c2VySWQiOiI2ODAzMDEwNDcifQ==</vt:lpwstr>
  </property>
</Properties>
</file>