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1235F">
      <w:pPr>
        <w:jc w:val="left"/>
        <w:rPr>
          <w:rFonts w:hint="eastAsia" w:ascii="仿宋" w:hAnsi="仿宋" w:eastAsia="仿宋"/>
          <w:sz w:val="32"/>
          <w:szCs w:val="32"/>
        </w:rPr>
      </w:pPr>
      <w:bookmarkStart w:id="0" w:name="OLE_LINK1"/>
    </w:p>
    <w:p w14:paraId="73BB0E85">
      <w:pPr>
        <w:jc w:val="left"/>
        <w:rPr>
          <w:rFonts w:hint="eastAsia" w:ascii="仿宋" w:hAnsi="仿宋" w:eastAsia="仿宋"/>
          <w:sz w:val="32"/>
          <w:szCs w:val="32"/>
        </w:rPr>
      </w:pPr>
    </w:p>
    <w:p w14:paraId="427CFC73">
      <w:pPr>
        <w:jc w:val="left"/>
        <w:rPr>
          <w:rFonts w:hint="eastAsia" w:ascii="仿宋" w:hAnsi="仿宋" w:eastAsia="仿宋"/>
          <w:sz w:val="24"/>
          <w:szCs w:val="24"/>
        </w:rPr>
      </w:pPr>
    </w:p>
    <w:p w14:paraId="07DE1CA3">
      <w:pPr>
        <w:jc w:val="left"/>
        <w:rPr>
          <w:rFonts w:hint="eastAsia" w:ascii="仿宋" w:hAnsi="仿宋" w:eastAsia="仿宋"/>
          <w:sz w:val="24"/>
          <w:szCs w:val="24"/>
        </w:rPr>
      </w:pPr>
    </w:p>
    <w:p w14:paraId="097F98D2">
      <w:pPr>
        <w:jc w:val="left"/>
        <w:rPr>
          <w:rFonts w:hint="eastAsia" w:ascii="仿宋" w:hAnsi="仿宋" w:eastAsia="仿宋"/>
          <w:sz w:val="28"/>
          <w:szCs w:val="28"/>
        </w:rPr>
      </w:pPr>
    </w:p>
    <w:p w14:paraId="4E5D76B3">
      <w:pPr>
        <w:jc w:val="left"/>
        <w:rPr>
          <w:rFonts w:hint="eastAsia" w:ascii="仿宋" w:hAnsi="仿宋" w:eastAsia="仿宋"/>
          <w:sz w:val="32"/>
          <w:szCs w:val="32"/>
        </w:rPr>
      </w:pPr>
    </w:p>
    <w:p w14:paraId="3035FB4D">
      <w:pPr>
        <w:jc w:val="left"/>
        <w:rPr>
          <w:rFonts w:hint="eastAsia" w:ascii="仿宋" w:hAnsi="仿宋" w:eastAsia="仿宋"/>
          <w:sz w:val="32"/>
          <w:szCs w:val="32"/>
        </w:rPr>
      </w:pPr>
    </w:p>
    <w:p w14:paraId="3D402523">
      <w:pPr>
        <w:jc w:val="left"/>
        <w:rPr>
          <w:rFonts w:hint="eastAsia" w:ascii="仿宋" w:hAnsi="仿宋" w:eastAsia="仿宋"/>
          <w:sz w:val="32"/>
          <w:szCs w:val="32"/>
        </w:rPr>
      </w:pPr>
    </w:p>
    <w:p w14:paraId="6BE9B05F">
      <w:pPr>
        <w:jc w:val="left"/>
        <w:rPr>
          <w:rFonts w:hint="eastAsia" w:ascii="仿宋" w:hAnsi="仿宋" w:eastAsia="仿宋"/>
          <w:sz w:val="32"/>
          <w:szCs w:val="32"/>
        </w:rPr>
      </w:pPr>
    </w:p>
    <w:bookmarkEnd w:id="0"/>
    <w:p w14:paraId="51F58D85">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64</w:t>
      </w:r>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bookmarkStart w:id="1" w:name="_GoBack"/>
      <w:bookmarkEnd w:id="1"/>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p>
    <w:p w14:paraId="7FD90556">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根据司法部、国家发展和改革委员会、国家市场监督管理总局《关于进一步规范律师服务收费的意见》的通知（司发通[2021]87号）及省上相关规定，本会对四川石砥律师事务所提交的《四川石砥律师事务所律师服务收费标准》已审查完毕，相关内容符合相关规定，本会同意备案人的备案申请，该收费标准自备案之日起至2026年5月1日前有效，该公告可在德阳市律师协会官方网站查询，特此公告。</w:t>
      </w:r>
    </w:p>
    <w:p w14:paraId="724E9E96">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p>
    <w:p w14:paraId="6871B1D3">
      <w:pPr>
        <w:keepNext w:val="0"/>
        <w:keepLines w:val="0"/>
        <w:pageBreakBefore w:val="0"/>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宋体" w:cs="Times New Roman"/>
          <w:b/>
          <w:sz w:val="32"/>
          <w:szCs w:val="32"/>
        </w:rPr>
      </w:pPr>
      <w:r>
        <w:rPr>
          <w:rFonts w:ascii="Times New Roman" w:hAnsi="Times New Roman" w:eastAsia="宋体" w:cs="Times New Roman"/>
          <w:b/>
          <w:sz w:val="32"/>
          <w:szCs w:val="32"/>
        </w:rPr>
        <w:t>四川石砥律师事务所律师服务收费标准</w:t>
      </w:r>
    </w:p>
    <w:p w14:paraId="5B16BE15">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黑体" w:cs="Times New Roman"/>
          <w:bCs/>
          <w:sz w:val="32"/>
          <w:szCs w:val="32"/>
          <w:lang w:eastAsia="zh-Hans"/>
        </w:rPr>
      </w:pPr>
      <w:r>
        <w:rPr>
          <w:rFonts w:ascii="Times New Roman" w:hAnsi="Times New Roman" w:eastAsia="黑体" w:cs="Times New Roman"/>
          <w:bCs/>
          <w:sz w:val="32"/>
          <w:szCs w:val="32"/>
          <w:lang w:eastAsia="zh-Hans"/>
        </w:rPr>
        <w:t>第一章 收费范围、原则和方式</w:t>
      </w:r>
    </w:p>
    <w:p w14:paraId="3C5301C1">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第一条</w:t>
      </w:r>
      <w:r>
        <w:rPr>
          <w:rFonts w:ascii="Times New Roman" w:hAnsi="Times New Roman" w:eastAsia="仿宋" w:cs="Times New Roman"/>
          <w:sz w:val="32"/>
          <w:szCs w:val="32"/>
          <w:lang w:eastAsia="zh-Hans"/>
        </w:rPr>
        <w:t xml:space="preserve"> 根据国家、省相关法律法规及规范性文件规定和要求，并结合本市、本所实际情况制定本收费标准。</w:t>
      </w:r>
    </w:p>
    <w:p w14:paraId="17FF14F6">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rPr>
        <w:t>第</w:t>
      </w:r>
      <w:r>
        <w:rPr>
          <w:rFonts w:ascii="Times New Roman" w:hAnsi="Times New Roman" w:eastAsia="仿宋" w:cs="Times New Roman"/>
          <w:b/>
          <w:bCs/>
          <w:sz w:val="32"/>
          <w:szCs w:val="32"/>
          <w:lang w:eastAsia="zh-Hans"/>
        </w:rPr>
        <w:t>二</w:t>
      </w:r>
      <w:r>
        <w:rPr>
          <w:rFonts w:ascii="Times New Roman" w:hAnsi="Times New Roman" w:eastAsia="仿宋" w:cs="Times New Roman"/>
          <w:b/>
          <w:bCs/>
          <w:sz w:val="32"/>
          <w:szCs w:val="32"/>
        </w:rPr>
        <w:t xml:space="preserve">条 </w:t>
      </w:r>
      <w:r>
        <w:rPr>
          <w:rFonts w:ascii="Times New Roman" w:hAnsi="Times New Roman" w:eastAsia="仿宋" w:cs="Times New Roman"/>
          <w:sz w:val="32"/>
          <w:szCs w:val="32"/>
          <w:lang w:eastAsia="zh-Hans"/>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14:paraId="1985F8B2">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b/>
          <w:bCs/>
          <w:sz w:val="32"/>
          <w:szCs w:val="32"/>
          <w:lang w:eastAsia="zh-Hans"/>
        </w:rPr>
        <w:t>第三条</w:t>
      </w:r>
      <w:r>
        <w:rPr>
          <w:rFonts w:ascii="Times New Roman" w:hAnsi="Times New Roman" w:eastAsia="仿宋" w:cs="Times New Roman"/>
          <w:sz w:val="32"/>
          <w:szCs w:val="32"/>
          <w:lang w:eastAsia="zh-Hans"/>
        </w:rPr>
        <w:t xml:space="preserve"> 律师服务费是</w:t>
      </w:r>
      <w:r>
        <w:rPr>
          <w:rFonts w:ascii="Times New Roman" w:hAnsi="Times New Roman" w:eastAsia="仿宋" w:cs="Times New Roman"/>
          <w:kern w:val="2"/>
          <w:sz w:val="32"/>
          <w:szCs w:val="32"/>
          <w:lang w:eastAsia="zh-Hans"/>
        </w:rPr>
        <w:t>律师事务所接受委托办理法律事务，向委托人收取服务报酬的行为。</w:t>
      </w:r>
    </w:p>
    <w:p w14:paraId="13BCDEA7">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kern w:val="2"/>
          <w:sz w:val="32"/>
          <w:szCs w:val="32"/>
          <w:lang w:eastAsia="zh-Hans"/>
        </w:rPr>
        <w:t>律师办理委托事项过程中发生的诉讼费、仲裁费、鉴定费、公证费、查档费、保全费、翻译费、异地办案差旅费、跨境通讯费、专家论证费等费用，以及律师事务所代委托人支付的其他费用，不属于律师服务费，由委托人另行支付。</w:t>
      </w:r>
    </w:p>
    <w:p w14:paraId="47FD5776">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Times New Roman" w:eastAsia="仿宋" w:cs="Times New Roman"/>
          <w:b/>
          <w:bCs/>
          <w:sz w:val="32"/>
          <w:szCs w:val="32"/>
          <w:lang w:eastAsia="zh-Hans"/>
        </w:rPr>
        <w:t xml:space="preserve">第四条 </w:t>
      </w:r>
      <w:r>
        <w:rPr>
          <w:rFonts w:ascii="Times New Roman" w:hAnsi="Times New Roman" w:eastAsia="仿宋" w:cs="Times New Roman"/>
          <w:sz w:val="32"/>
          <w:szCs w:val="32"/>
          <w:lang w:eastAsia="zh-Hans"/>
        </w:rPr>
        <w:t>本所就下列委托事项收取律师服务费</w:t>
      </w:r>
      <w:r>
        <w:rPr>
          <w:rFonts w:ascii="Times New Roman" w:hAnsi="Times New Roman" w:eastAsia="仿宋" w:cs="Times New Roman"/>
          <w:sz w:val="32"/>
          <w:szCs w:val="32"/>
        </w:rPr>
        <w:t>:</w:t>
      </w:r>
    </w:p>
    <w:p w14:paraId="22964DE0">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kern w:val="2"/>
          <w:sz w:val="32"/>
          <w:szCs w:val="32"/>
          <w:lang w:eastAsia="zh-Hans"/>
        </w:rPr>
        <w:t>（一）代理各类案件担任代理人、辩护人，起草相关法律文书，开展各类专项法律服务，担任法律顾问，接受法律咨询等法律业务。</w:t>
      </w:r>
    </w:p>
    <w:p w14:paraId="55CAE2E2">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kern w:val="2"/>
          <w:sz w:val="32"/>
          <w:szCs w:val="32"/>
          <w:lang w:eastAsia="zh-Hans"/>
        </w:rPr>
        <w:t>（二）律师从事其它与法律服务及法律培训相关的事务。</w:t>
      </w:r>
    </w:p>
    <w:p w14:paraId="1BC772A0">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Times New Roman" w:eastAsia="仿宋" w:cs="Times New Roman"/>
          <w:b/>
          <w:bCs/>
          <w:kern w:val="2"/>
          <w:sz w:val="32"/>
          <w:szCs w:val="32"/>
          <w:lang w:eastAsia="zh-Hans"/>
        </w:rPr>
        <w:t>第五条</w:t>
      </w:r>
      <w:r>
        <w:rPr>
          <w:rFonts w:ascii="Times New Roman" w:hAnsi="Times New Roman" w:eastAsia="仿宋" w:cs="Times New Roman"/>
          <w:kern w:val="2"/>
          <w:sz w:val="32"/>
          <w:szCs w:val="32"/>
          <w:lang w:eastAsia="zh-Hans"/>
        </w:rPr>
        <w:t xml:space="preserve"> 律师服务收费按政府指导价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按本标准协商确定。</w:t>
      </w:r>
    </w:p>
    <w:p w14:paraId="17760FDD">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kern w:val="2"/>
          <w:sz w:val="32"/>
          <w:szCs w:val="32"/>
          <w:lang w:eastAsia="zh-Hans"/>
        </w:rPr>
        <w:t>以上收费方式，在同一法律服务办理的不同阶段，可以选择同一种方式，也可以选择不同种方式。</w:t>
      </w:r>
    </w:p>
    <w:p w14:paraId="2AB55131">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b/>
          <w:bCs/>
          <w:kern w:val="2"/>
          <w:sz w:val="32"/>
          <w:szCs w:val="32"/>
          <w:lang w:eastAsia="zh-Hans"/>
        </w:rPr>
        <w:t>第六条</w:t>
      </w:r>
      <w:r>
        <w:rPr>
          <w:rFonts w:ascii="Times New Roman" w:hAnsi="Times New Roman" w:eastAsia="仿宋" w:cs="Times New Roman"/>
          <w:kern w:val="2"/>
          <w:sz w:val="32"/>
          <w:szCs w:val="32"/>
          <w:lang w:eastAsia="zh-Hans"/>
        </w:rPr>
        <w:t xml:space="preserve"> 律师服务费的收费方式和收费金额，应由律师事务所与委托人签订相应的法律事务委托合同进行约定，律师服务费应由律师事务所统一收取、统一入账，律师个人不得向委托人收取律师服务费。确因交通不便等特殊情况，委托人提出由律师代为收取的，律师应当在代收款项后3个工作日内将律师服务费全额转入律师事务所账户。</w:t>
      </w:r>
    </w:p>
    <w:p w14:paraId="3C39F50D">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kern w:val="2"/>
          <w:sz w:val="32"/>
          <w:szCs w:val="32"/>
          <w:lang w:eastAsia="zh-Hans"/>
        </w:rPr>
        <w:t>除律师服务费、代委托人支付的费用、异地办案差旅费外，不得以任何名义向委托人收取其他费用。</w:t>
      </w:r>
    </w:p>
    <w:p w14:paraId="67B2EEBF">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 xml:space="preserve">第七条 </w:t>
      </w:r>
      <w:r>
        <w:rPr>
          <w:rFonts w:ascii="Times New Roman" w:hAnsi="Times New Roman" w:eastAsia="仿宋" w:cs="Times New Roman"/>
          <w:sz w:val="32"/>
          <w:szCs w:val="32"/>
          <w:lang w:eastAsia="zh-Hans"/>
        </w:rPr>
        <w:t>律师服务费由律师事务所依约定收取并据实开具律师服务费发票，</w:t>
      </w:r>
      <w:r>
        <w:rPr>
          <w:rFonts w:ascii="Times New Roman" w:hAnsi="Times New Roman" w:eastAsia="仿宋" w:cs="Times New Roman"/>
          <w:kern w:val="2"/>
          <w:sz w:val="32"/>
          <w:szCs w:val="32"/>
          <w:lang w:eastAsia="zh-Hans"/>
        </w:rPr>
        <w:t>代委托人支付的费用及非包干异地办案差旅费应当提供有效凭证。</w:t>
      </w:r>
    </w:p>
    <w:p w14:paraId="092E64E8">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黑体" w:cs="Times New Roman"/>
          <w:bCs/>
          <w:sz w:val="32"/>
          <w:szCs w:val="32"/>
          <w:lang w:eastAsia="zh-Hans"/>
        </w:rPr>
      </w:pPr>
      <w:r>
        <w:rPr>
          <w:rFonts w:ascii="Times New Roman" w:hAnsi="Times New Roman" w:eastAsia="黑体" w:cs="Times New Roman"/>
          <w:bCs/>
          <w:sz w:val="32"/>
          <w:szCs w:val="32"/>
          <w:lang w:eastAsia="zh-Hans"/>
        </w:rPr>
        <w:t>第二章 收费标准</w:t>
      </w:r>
    </w:p>
    <w:p w14:paraId="65FDBF8E">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楷体" w:cs="Times New Roman"/>
          <w:b/>
          <w:bCs/>
          <w:sz w:val="32"/>
          <w:szCs w:val="32"/>
          <w:lang w:eastAsia="zh-Hans"/>
        </w:rPr>
      </w:pPr>
      <w:r>
        <w:rPr>
          <w:rFonts w:ascii="Times New Roman" w:hAnsi="Times New Roman" w:eastAsia="楷体" w:cs="Times New Roman"/>
          <w:b/>
          <w:bCs/>
          <w:sz w:val="32"/>
          <w:szCs w:val="32"/>
          <w:lang w:eastAsia="zh-Hans"/>
        </w:rPr>
        <w:t>第一节 不涉及财产关系的收费</w:t>
      </w:r>
    </w:p>
    <w:p w14:paraId="5BD34E64">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w:t>
      </w:r>
      <w:r>
        <w:rPr>
          <w:rFonts w:ascii="Times New Roman" w:hAnsi="Times New Roman" w:eastAsia="仿宋" w:cs="Times New Roman"/>
          <w:b/>
          <w:bCs/>
          <w:sz w:val="32"/>
          <w:szCs w:val="32"/>
          <w:lang w:eastAsia="zh-Hans"/>
        </w:rPr>
        <w:t>八</w:t>
      </w:r>
      <w:r>
        <w:rPr>
          <w:rFonts w:ascii="Times New Roman" w:hAnsi="Times New Roman" w:eastAsia="仿宋" w:cs="Times New Roman"/>
          <w:b/>
          <w:bCs/>
          <w:sz w:val="32"/>
          <w:szCs w:val="32"/>
        </w:rPr>
        <w:t xml:space="preserve">条 </w:t>
      </w:r>
      <w:r>
        <w:rPr>
          <w:rFonts w:ascii="Times New Roman" w:hAnsi="Times New Roman" w:eastAsia="仿宋" w:cs="Times New Roman"/>
          <w:sz w:val="32"/>
          <w:szCs w:val="32"/>
          <w:lang w:eastAsia="zh-Hans"/>
        </w:rPr>
        <w:t>不涉及财产利益关系的法律事务，一般可选择计件收费、计时收费或者按不同的诉讼程序分阶段收费的方式收取律师服务费。</w:t>
      </w:r>
    </w:p>
    <w:p w14:paraId="2CA20FED">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rPr>
        <w:t>第</w:t>
      </w:r>
      <w:r>
        <w:rPr>
          <w:rFonts w:ascii="Times New Roman" w:hAnsi="Times New Roman" w:eastAsia="仿宋" w:cs="Times New Roman"/>
          <w:b/>
          <w:bCs/>
          <w:sz w:val="32"/>
          <w:szCs w:val="32"/>
          <w:lang w:eastAsia="zh-Hans"/>
        </w:rPr>
        <w:t>九</w:t>
      </w:r>
      <w:r>
        <w:rPr>
          <w:rFonts w:ascii="Times New Roman" w:hAnsi="Times New Roman" w:eastAsia="仿宋" w:cs="Times New Roman"/>
          <w:b/>
          <w:bCs/>
          <w:sz w:val="32"/>
          <w:szCs w:val="32"/>
        </w:rPr>
        <w:t xml:space="preserve">条 </w:t>
      </w:r>
      <w:r>
        <w:rPr>
          <w:rFonts w:ascii="Times New Roman" w:hAnsi="Times New Roman" w:eastAsia="仿宋" w:cs="Times New Roman"/>
          <w:sz w:val="32"/>
          <w:szCs w:val="32"/>
          <w:lang w:eastAsia="zh-Hans"/>
        </w:rPr>
        <w:t>选择计件收费的，原则上按下列标准范围与委托人商定：</w:t>
      </w:r>
    </w:p>
    <w:p w14:paraId="162B6EBB">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shd w:val="pct15" w:color="auto" w:fill="FFFFFF"/>
        </w:rPr>
      </w:pPr>
      <w:r>
        <w:rPr>
          <w:rFonts w:ascii="Times New Roman" w:hAnsi="Times New Roman" w:eastAsia="仿宋" w:cs="Times New Roman"/>
          <w:sz w:val="32"/>
          <w:szCs w:val="32"/>
          <w:lang w:eastAsia="zh-Hans"/>
        </w:rPr>
        <w:t>（一）代书、起草、审查修改合同或者其他法律文书、律师函、律师见证、代为声明、参加谈判、会议、主持调解等，可按件收费或按照标的额收费，按件收费的每件200元</w:t>
      </w:r>
      <w:r>
        <w:rPr>
          <w:rFonts w:ascii="Times New Roman" w:hAnsi="Times New Roman" w:eastAsia="仿宋" w:cs="Times New Roman"/>
          <w:sz w:val="32"/>
          <w:szCs w:val="32"/>
        </w:rPr>
        <w:t>-</w:t>
      </w:r>
      <w:r>
        <w:rPr>
          <w:rFonts w:ascii="Times New Roman" w:hAnsi="Times New Roman" w:eastAsia="仿宋" w:cs="Times New Roman"/>
          <w:sz w:val="32"/>
          <w:szCs w:val="32"/>
          <w:lang w:eastAsia="zh-Hans"/>
        </w:rPr>
        <w:t>10万元，按标的额收费的为</w:t>
      </w:r>
      <w:r>
        <w:rPr>
          <w:rFonts w:ascii="Times New Roman" w:hAnsi="Times New Roman" w:eastAsia="仿宋" w:cs="Times New Roman"/>
          <w:sz w:val="32"/>
          <w:szCs w:val="32"/>
        </w:rPr>
        <w:t>1%-10%</w:t>
      </w:r>
      <w:r>
        <w:rPr>
          <w:rFonts w:ascii="Times New Roman" w:hAnsi="Times New Roman" w:eastAsia="仿宋" w:cs="Times New Roman"/>
          <w:sz w:val="32"/>
          <w:szCs w:val="32"/>
          <w:lang w:eastAsia="zh-Hans"/>
        </w:rPr>
        <w:t>。</w:t>
      </w:r>
    </w:p>
    <w:p w14:paraId="2D84EBA2">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（二）担任国家机关、企事业单位、其他组织以及自然人的常年法律顾问，可按年度计件收费，每年度1万元</w:t>
      </w:r>
      <w:r>
        <w:rPr>
          <w:rFonts w:ascii="Times New Roman" w:hAnsi="Times New Roman" w:eastAsia="仿宋" w:cs="Times New Roman"/>
          <w:sz w:val="32"/>
          <w:szCs w:val="32"/>
        </w:rPr>
        <w:t>-</w:t>
      </w:r>
      <w:r>
        <w:rPr>
          <w:rFonts w:ascii="Times New Roman" w:hAnsi="Times New Roman" w:eastAsia="仿宋" w:cs="Times New Roman"/>
          <w:sz w:val="32"/>
          <w:szCs w:val="32"/>
          <w:lang w:eastAsia="zh-Hans"/>
        </w:rPr>
        <w:t>20万元。</w:t>
      </w:r>
    </w:p>
    <w:p w14:paraId="172ADEAF">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（三）专项事务法律顾问、法律风险评估或论证、合法性审查、法律意见书、尽职调查、法律培训等，不涉及财产的，可按件收费，每件5000元</w:t>
      </w:r>
      <w:r>
        <w:rPr>
          <w:rFonts w:ascii="Times New Roman" w:hAnsi="Times New Roman" w:eastAsia="仿宋" w:cs="Times New Roman"/>
          <w:sz w:val="32"/>
          <w:szCs w:val="32"/>
        </w:rPr>
        <w:t>-</w:t>
      </w:r>
      <w:r>
        <w:rPr>
          <w:rFonts w:ascii="Times New Roman" w:hAnsi="Times New Roman" w:eastAsia="仿宋" w:cs="Times New Roman"/>
          <w:sz w:val="32"/>
          <w:szCs w:val="32"/>
          <w:lang w:eastAsia="zh-Hans"/>
        </w:rPr>
        <w:t>20万元。</w:t>
      </w:r>
    </w:p>
    <w:p w14:paraId="701DE068">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（四）立法调研、起草或者修改法律法规、规范性文件、课题调研、清理规范性文件等，可按件收费，每件5万</w:t>
      </w:r>
      <w:r>
        <w:rPr>
          <w:rFonts w:ascii="Times New Roman" w:hAnsi="Times New Roman" w:eastAsia="仿宋" w:cs="Times New Roman"/>
          <w:sz w:val="32"/>
          <w:szCs w:val="32"/>
        </w:rPr>
        <w:t>-</w:t>
      </w:r>
      <w:r>
        <w:rPr>
          <w:rFonts w:ascii="Times New Roman" w:hAnsi="Times New Roman" w:eastAsia="仿宋" w:cs="Times New Roman"/>
          <w:sz w:val="32"/>
          <w:szCs w:val="32"/>
          <w:lang w:eastAsia="zh-Hans"/>
        </w:rPr>
        <w:t>50万元。</w:t>
      </w:r>
    </w:p>
    <w:p w14:paraId="4E56F986">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rPr>
        <w:t xml:space="preserve">第十条 </w:t>
      </w:r>
      <w:r>
        <w:rPr>
          <w:rFonts w:ascii="Times New Roman" w:hAnsi="Times New Roman" w:eastAsia="仿宋" w:cs="Times New Roman"/>
          <w:sz w:val="32"/>
          <w:szCs w:val="32"/>
          <w:lang w:eastAsia="zh-Hans"/>
        </w:rPr>
        <w:t>选择计时收费的，可按每位律师每小时200元</w:t>
      </w:r>
      <w:r>
        <w:rPr>
          <w:rFonts w:ascii="Times New Roman" w:hAnsi="Times New Roman" w:eastAsia="仿宋" w:cs="Times New Roman"/>
          <w:sz w:val="32"/>
          <w:szCs w:val="32"/>
        </w:rPr>
        <w:t>-</w:t>
      </w:r>
      <w:r>
        <w:rPr>
          <w:rFonts w:ascii="Times New Roman" w:hAnsi="Times New Roman" w:eastAsia="仿宋" w:cs="Times New Roman"/>
          <w:sz w:val="32"/>
          <w:szCs w:val="32"/>
          <w:lang w:eastAsia="zh-Hans"/>
        </w:rPr>
        <w:t>6000元收取律师服务费</w:t>
      </w:r>
      <w:r>
        <w:rPr>
          <w:rFonts w:ascii="Times New Roman" w:hAnsi="Times New Roman" w:eastAsia="仿宋" w:cs="Times New Roman"/>
          <w:sz w:val="32"/>
          <w:szCs w:val="32"/>
        </w:rPr>
        <w:t>，</w:t>
      </w:r>
      <w:r>
        <w:rPr>
          <w:rFonts w:ascii="Times New Roman" w:hAnsi="Times New Roman" w:eastAsia="仿宋" w:cs="Times New Roman"/>
          <w:sz w:val="32"/>
          <w:szCs w:val="32"/>
          <w:lang w:eastAsia="zh-Hans"/>
        </w:rPr>
        <w:t>承办律师为二人以上的，以各自的计费标准和计费工作时间分别计算。</w:t>
      </w:r>
    </w:p>
    <w:p w14:paraId="1AC40BAA">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sz w:val="32"/>
          <w:szCs w:val="32"/>
          <w:lang w:eastAsia="zh-Hans"/>
        </w:rPr>
        <w:t>计费工作时间是律师办理委托事项的有效工作时间，</w:t>
      </w:r>
      <w:r>
        <w:rPr>
          <w:rFonts w:ascii="Times New Roman" w:hAnsi="Times New Roman" w:eastAsia="仿宋" w:cs="Times New Roman"/>
          <w:kern w:val="2"/>
          <w:sz w:val="32"/>
          <w:szCs w:val="32"/>
          <w:lang w:eastAsia="zh-Hans"/>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14:paraId="138AC220">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第十一条</w:t>
      </w:r>
      <w:r>
        <w:rPr>
          <w:rFonts w:ascii="Times New Roman" w:hAnsi="Times New Roman" w:eastAsia="仿宋" w:cs="Times New Roman"/>
          <w:sz w:val="32"/>
          <w:szCs w:val="32"/>
          <w:lang w:eastAsia="zh-Hans"/>
        </w:rPr>
        <w:t xml:space="preserve"> 不涉及财产关系的法律事项选择按诉讼程序分阶段收费的，每个阶段可以在5000元</w:t>
      </w:r>
      <w:r>
        <w:rPr>
          <w:rFonts w:ascii="Times New Roman" w:hAnsi="Times New Roman" w:eastAsia="仿宋" w:cs="Times New Roman"/>
          <w:sz w:val="32"/>
          <w:szCs w:val="32"/>
        </w:rPr>
        <w:t>-</w:t>
      </w:r>
      <w:r>
        <w:rPr>
          <w:rFonts w:ascii="Times New Roman" w:hAnsi="Times New Roman" w:eastAsia="仿宋" w:cs="Times New Roman"/>
          <w:sz w:val="32"/>
          <w:szCs w:val="32"/>
          <w:lang w:eastAsia="zh-Hans"/>
        </w:rPr>
        <w:t>30万元范围内收取律师服务费，可根据案件情况，合理上浮，上浮比例不超过原服务费金额的</w:t>
      </w:r>
      <w:r>
        <w:rPr>
          <w:rFonts w:ascii="Times New Roman" w:hAnsi="Times New Roman" w:eastAsia="仿宋" w:cs="Times New Roman"/>
          <w:sz w:val="32"/>
          <w:szCs w:val="32"/>
        </w:rPr>
        <w:t>2倍</w:t>
      </w:r>
      <w:r>
        <w:rPr>
          <w:rFonts w:ascii="Times New Roman" w:hAnsi="Times New Roman" w:eastAsia="仿宋" w:cs="Times New Roman"/>
          <w:sz w:val="32"/>
          <w:szCs w:val="32"/>
          <w:lang w:eastAsia="zh-Hans"/>
        </w:rPr>
        <w:t>。</w:t>
      </w:r>
    </w:p>
    <w:p w14:paraId="3630B08F">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楷体" w:cs="Times New Roman"/>
          <w:b/>
          <w:bCs/>
          <w:sz w:val="32"/>
          <w:szCs w:val="32"/>
          <w:lang w:eastAsia="zh-Hans"/>
        </w:rPr>
      </w:pPr>
      <w:r>
        <w:rPr>
          <w:rFonts w:ascii="Times New Roman" w:hAnsi="Times New Roman" w:eastAsia="楷体" w:cs="Times New Roman"/>
          <w:b/>
          <w:bCs/>
          <w:sz w:val="32"/>
          <w:szCs w:val="32"/>
          <w:lang w:eastAsia="zh-Hans"/>
        </w:rPr>
        <w:t>第二节 涉及财产关系的固定代理收费</w:t>
      </w:r>
    </w:p>
    <w:p w14:paraId="1163227B">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第十二条</w:t>
      </w:r>
      <w:r>
        <w:rPr>
          <w:rFonts w:ascii="Times New Roman" w:hAnsi="Times New Roman" w:eastAsia="仿宋" w:cs="Times New Roman"/>
          <w:sz w:val="32"/>
          <w:szCs w:val="32"/>
          <w:lang w:eastAsia="zh-Hans"/>
        </w:rPr>
        <w:t xml:space="preserve"> 涉及财产利益关系的法律事务，如系诉讼事务，则在每个独立的诉讼阶段中，可按案件争议标的额金额的一定比例分段累计收费，具体如下:</w:t>
      </w:r>
    </w:p>
    <w:p w14:paraId="0E111E21">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（一）100万元以下部分收费比例为4%-8%，最低不少于5000元；</w:t>
      </w:r>
    </w:p>
    <w:p w14:paraId="48709CB0">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（二）100万元至1000万元部分为3%-6%；</w:t>
      </w:r>
    </w:p>
    <w:p w14:paraId="5969A1F5">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（三）1000万元至5000万元部分为2%-5%;</w:t>
      </w:r>
    </w:p>
    <w:p w14:paraId="39514A0B">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（四）5000万元以上部分，为1%-3%。</w:t>
      </w:r>
    </w:p>
    <w:p w14:paraId="3ADBC9F6">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第十三条</w:t>
      </w:r>
      <w:r>
        <w:rPr>
          <w:rFonts w:ascii="Times New Roman" w:hAnsi="Times New Roman" w:eastAsia="仿宋" w:cs="Times New Roman"/>
          <w:sz w:val="32"/>
          <w:szCs w:val="32"/>
        </w:rPr>
        <w:t xml:space="preserve"> 本标准第十一条、第十二条是代理民事诉讼案件（包括律师</w:t>
      </w:r>
      <w:r>
        <w:rPr>
          <w:rFonts w:ascii="Times New Roman" w:hAnsi="Times New Roman" w:eastAsia="仿宋" w:cs="Times New Roman"/>
          <w:sz w:val="32"/>
          <w:szCs w:val="32"/>
          <w:lang w:eastAsia="zh-Hans"/>
        </w:rPr>
        <w:t>代理</w:t>
      </w:r>
      <w:r>
        <w:rPr>
          <w:rFonts w:ascii="Times New Roman" w:hAnsi="Times New Roman" w:eastAsia="仿宋" w:cs="Times New Roman"/>
          <w:sz w:val="32"/>
          <w:szCs w:val="32"/>
        </w:rPr>
        <w:t>刑事附带民事诉讼部分的案件）一审阶段的收费标准。单独代理二审、再审、发回重审一审、发回重审二审案件的，或者代理仲裁案件，或者代理不予执行或撤销仲裁裁决书的，按照一审阶段收费标准执行。本所代理同一案件的不同审理阶段的，可以给予下浮不超过40%的优惠。同时代理本诉、本请求和反诉、反请求案件的，反诉、反请求按标的额以民事诉讼案件一审阶段的收费标准给予不超过30%的优惠。</w:t>
      </w:r>
    </w:p>
    <w:p w14:paraId="22C9D9F9">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第十四条</w:t>
      </w:r>
      <w:r>
        <w:rPr>
          <w:rFonts w:ascii="Times New Roman" w:hAnsi="Times New Roman" w:eastAsia="仿宋" w:cs="Times New Roman"/>
          <w:sz w:val="32"/>
          <w:szCs w:val="32"/>
          <w:lang w:eastAsia="zh-Hans"/>
        </w:rPr>
        <w:t xml:space="preserve"> 投融资、上市、并购、重组、改制、破产、清算、公司设立、公司治理结构设计、股权及债权债务转让等，参照第九条、第十二条标准收费。</w:t>
      </w:r>
    </w:p>
    <w:p w14:paraId="32C12E20">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color w:val="FF0000"/>
          <w:sz w:val="32"/>
          <w:szCs w:val="32"/>
        </w:rPr>
      </w:pPr>
      <w:r>
        <w:rPr>
          <w:rFonts w:ascii="Times New Roman" w:hAnsi="Times New Roman" w:eastAsia="仿宋" w:cs="Times New Roman"/>
          <w:b/>
          <w:bCs/>
          <w:sz w:val="32"/>
          <w:szCs w:val="32"/>
        </w:rPr>
        <w:t>第十</w:t>
      </w:r>
      <w:r>
        <w:rPr>
          <w:rFonts w:ascii="Times New Roman" w:hAnsi="Times New Roman" w:eastAsia="仿宋" w:cs="Times New Roman"/>
          <w:b/>
          <w:bCs/>
          <w:sz w:val="32"/>
          <w:szCs w:val="32"/>
          <w:lang w:eastAsia="zh-Hans"/>
        </w:rPr>
        <w:t>五</w:t>
      </w:r>
      <w:r>
        <w:rPr>
          <w:rFonts w:ascii="Times New Roman" w:hAnsi="Times New Roman" w:eastAsia="仿宋" w:cs="Times New Roman"/>
          <w:b/>
          <w:bCs/>
          <w:sz w:val="32"/>
          <w:szCs w:val="32"/>
        </w:rPr>
        <w:t>条</w:t>
      </w:r>
      <w:r>
        <w:rPr>
          <w:rFonts w:ascii="Times New Roman" w:hAnsi="Times New Roman" w:eastAsia="仿宋" w:cs="Times New Roman"/>
          <w:sz w:val="32"/>
          <w:szCs w:val="32"/>
        </w:rPr>
        <w:t xml:space="preserve"> 单独承办的执行案件，根据执行标的额，按一审阶段标准收费；曾承办一审或二审的案件，可按一审阶段收费标准优惠20%-80%收费，代理执行案件也可采用计时或风险代理收费，参照第十条、第十六条标准计算。</w:t>
      </w:r>
    </w:p>
    <w:p w14:paraId="6F643655">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楷体" w:cs="Times New Roman"/>
          <w:b/>
          <w:bCs/>
          <w:sz w:val="32"/>
          <w:szCs w:val="32"/>
          <w:lang w:eastAsia="zh-Hans"/>
        </w:rPr>
      </w:pPr>
      <w:r>
        <w:rPr>
          <w:rFonts w:ascii="Times New Roman" w:hAnsi="Times New Roman" w:eastAsia="楷体" w:cs="Times New Roman"/>
          <w:b/>
          <w:bCs/>
          <w:sz w:val="32"/>
          <w:szCs w:val="32"/>
          <w:lang w:eastAsia="zh-Hans"/>
        </w:rPr>
        <w:t>第三节 涉及财产关系的风险代理收费</w:t>
      </w:r>
    </w:p>
    <w:p w14:paraId="41F21CC5">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rPr>
        <w:t>第</w:t>
      </w:r>
      <w:r>
        <w:rPr>
          <w:rFonts w:ascii="Times New Roman" w:hAnsi="Times New Roman" w:eastAsia="仿宋" w:cs="Times New Roman"/>
          <w:b/>
          <w:bCs/>
          <w:sz w:val="32"/>
          <w:szCs w:val="32"/>
          <w:lang w:eastAsia="zh-Hans"/>
        </w:rPr>
        <w:t>十六</w:t>
      </w:r>
      <w:r>
        <w:rPr>
          <w:rFonts w:ascii="Times New Roman" w:hAnsi="Times New Roman" w:eastAsia="仿宋" w:cs="Times New Roman"/>
          <w:b/>
          <w:bCs/>
          <w:sz w:val="32"/>
          <w:szCs w:val="32"/>
        </w:rPr>
        <w:t>条</w:t>
      </w:r>
      <w:r>
        <w:rPr>
          <w:rFonts w:ascii="Times New Roman" w:hAnsi="Times New Roman" w:eastAsia="仿宋" w:cs="Times New Roman"/>
          <w:sz w:val="32"/>
          <w:szCs w:val="32"/>
        </w:rPr>
        <w:t xml:space="preserve"> </w:t>
      </w:r>
      <w:r>
        <w:rPr>
          <w:rFonts w:ascii="Times New Roman" w:hAnsi="Times New Roman" w:eastAsia="仿宋" w:cs="Times New Roman"/>
          <w:sz w:val="32"/>
          <w:szCs w:val="32"/>
          <w:lang w:eastAsia="zh-Hans"/>
        </w:rPr>
        <w:t>风险代理各个环节收取的律师服务费合计最高金额应当符合下列标准：</w:t>
      </w:r>
    </w:p>
    <w:p w14:paraId="56AA0612">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（一）标的额不足人民币100万元的部分，按8%-18%计算；</w:t>
      </w:r>
    </w:p>
    <w:p w14:paraId="5C6A2C47">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（二）标的额在人民币100万元以上不足500万元的部分，按7%-15%计算；</w:t>
      </w:r>
    </w:p>
    <w:p w14:paraId="3EA47E60">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（三）标的额在人民币500万元以上不足1000万元的部分，按5%-12%计算；</w:t>
      </w:r>
    </w:p>
    <w:p w14:paraId="2C459C96">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（四）标的额在人民币1000万元以上不足5000万元的部分，按3%-9%计算；</w:t>
      </w:r>
    </w:p>
    <w:p w14:paraId="7AE2FF2A">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（五）标的额在人民币5000万元以上的部分，按2%-6%计算。采用风险代理的，可以约定其中固定收取的部分以及风险代理的部分费用，但总额不超过上述律师服务费比例。</w:t>
      </w:r>
    </w:p>
    <w:p w14:paraId="428EDB6E">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对于风险收费的法律事务，可以分阶段约定律师的代理或办理目标，并在每阶段目标达到后即按约定收取该阶段的律师服务费。采用风险收费方式的，律师事务所可以要求委托人对其依约预计应当支付的律师服务费提供相应的担保。</w:t>
      </w:r>
    </w:p>
    <w:p w14:paraId="5B1B4C8C">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Times New Roman" w:eastAsia="仿宋" w:cs="Times New Roman"/>
          <w:sz w:val="32"/>
          <w:szCs w:val="32"/>
          <w:lang w:eastAsia="zh-Hans"/>
        </w:rPr>
        <w:t>上述风险代理收费若案情简单可下浮不超过</w:t>
      </w:r>
      <w:r>
        <w:rPr>
          <w:rFonts w:ascii="Times New Roman" w:hAnsi="Times New Roman" w:eastAsia="仿宋" w:cs="Times New Roman"/>
          <w:sz w:val="32"/>
          <w:szCs w:val="32"/>
        </w:rPr>
        <w:t>20%收费。</w:t>
      </w:r>
    </w:p>
    <w:p w14:paraId="63E865FD">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b/>
          <w:bCs/>
          <w:sz w:val="32"/>
          <w:szCs w:val="32"/>
          <w:lang w:eastAsia="zh-Hans"/>
        </w:rPr>
        <w:t>第十七条</w:t>
      </w:r>
      <w:r>
        <w:rPr>
          <w:rFonts w:ascii="Times New Roman" w:hAnsi="Times New Roman" w:eastAsia="仿宋" w:cs="Times New Roman"/>
          <w:sz w:val="32"/>
          <w:szCs w:val="32"/>
          <w:lang w:eastAsia="zh-Hans"/>
        </w:rPr>
        <w:t xml:space="preserve"> </w:t>
      </w:r>
      <w:r>
        <w:rPr>
          <w:rFonts w:ascii="Times New Roman" w:hAnsi="Times New Roman" w:eastAsia="仿宋" w:cs="Times New Roman"/>
          <w:kern w:val="2"/>
          <w:sz w:val="32"/>
          <w:szCs w:val="32"/>
          <w:lang w:eastAsia="zh-Hans"/>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但可以约定出现前述情形时律师服务费的计算和支付方式。</w:t>
      </w:r>
    </w:p>
    <w:p w14:paraId="65A462CE">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在订立风险代理合同过程中，律师或律师事务所应当按相关规定向委托人履行提示义务和告知义务</w:t>
      </w:r>
      <w:r>
        <w:rPr>
          <w:rFonts w:ascii="Times New Roman" w:hAnsi="Times New Roman" w:eastAsia="仿宋" w:cs="Times New Roman"/>
          <w:kern w:val="2"/>
          <w:sz w:val="32"/>
          <w:szCs w:val="32"/>
          <w:lang w:eastAsia="zh-Hans"/>
        </w:rPr>
        <w:t>。</w:t>
      </w:r>
    </w:p>
    <w:p w14:paraId="3448333D">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楷体" w:cs="Times New Roman"/>
          <w:b/>
          <w:bCs/>
          <w:sz w:val="32"/>
          <w:szCs w:val="32"/>
          <w:lang w:eastAsia="zh-Hans"/>
        </w:rPr>
      </w:pPr>
      <w:r>
        <w:rPr>
          <w:rFonts w:ascii="Times New Roman" w:hAnsi="Times New Roman" w:eastAsia="楷体" w:cs="Times New Roman"/>
          <w:b/>
          <w:bCs/>
          <w:sz w:val="32"/>
          <w:szCs w:val="32"/>
          <w:lang w:eastAsia="zh-Hans"/>
        </w:rPr>
        <w:t>第四节 不能采取风险代理收费</w:t>
      </w:r>
    </w:p>
    <w:p w14:paraId="6BD65818">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第十八条</w:t>
      </w:r>
      <w:r>
        <w:rPr>
          <w:rFonts w:ascii="Times New Roman" w:hAnsi="Times New Roman" w:eastAsia="仿宋" w:cs="Times New Roman"/>
          <w:sz w:val="32"/>
          <w:szCs w:val="32"/>
          <w:lang w:eastAsia="zh-Hans"/>
        </w:rPr>
        <w:t xml:space="preserve"> 下列案件不能采取或变相采取风险代理收费方式：</w:t>
      </w:r>
    </w:p>
    <w:p w14:paraId="5A4ED36C">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（一）刑事诉讼案件；</w:t>
      </w:r>
    </w:p>
    <w:p w14:paraId="50E6E89E">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（二）行政诉讼案件；</w:t>
      </w:r>
    </w:p>
    <w:p w14:paraId="6347EC88">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（三）国家赔偿案件；</w:t>
      </w:r>
    </w:p>
    <w:p w14:paraId="7A17DFFC">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（四）群体性诉讼案件；</w:t>
      </w:r>
    </w:p>
    <w:p w14:paraId="3FA44024">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（五）婚姻继承案件；</w:t>
      </w:r>
    </w:p>
    <w:p w14:paraId="6596A0F3">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b/>
          <w:bCs/>
          <w:sz w:val="32"/>
          <w:szCs w:val="32"/>
          <w:lang w:eastAsia="zh-Hans"/>
        </w:rPr>
      </w:pPr>
      <w:r>
        <w:rPr>
          <w:rFonts w:ascii="Times New Roman" w:hAnsi="Times New Roman" w:eastAsia="仿宋" w:cs="Times New Roman"/>
          <w:sz w:val="32"/>
          <w:szCs w:val="32"/>
          <w:lang w:eastAsia="zh-Hans"/>
        </w:rPr>
        <w:t>（六）请求给予社会保险待遇、最低生活保障待遇、赡养费、抚养费、扶养费、抚恤金、救济金、工伤赔偿、劳动报酬的案件。</w:t>
      </w:r>
    </w:p>
    <w:p w14:paraId="0D2DC388">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 xml:space="preserve">第十九条 </w:t>
      </w:r>
      <w:r>
        <w:rPr>
          <w:rFonts w:ascii="Times New Roman" w:hAnsi="Times New Roman" w:eastAsia="仿宋" w:cs="Times New Roman"/>
          <w:sz w:val="32"/>
          <w:szCs w:val="32"/>
          <w:lang w:eastAsia="zh-Hans"/>
        </w:rPr>
        <w:t>刑事案件包括担任国家公诉案件的辩护人和担任当事人自诉案件的代理人。国家公诉案件可以按刑事诉讼流程进行收费，主要分为侦查阶段、审查起诉阶段、审判阶段、申诉、再审阶段，收费标准采取按一人一罪名执行。</w:t>
      </w:r>
    </w:p>
    <w:p w14:paraId="74A5162B">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Times New Roman" w:eastAsia="仿宋" w:cs="Times New Roman"/>
          <w:sz w:val="32"/>
          <w:szCs w:val="32"/>
          <w:lang w:eastAsia="zh-Hans"/>
        </w:rPr>
        <w:t>1.侦查阶段、审查起诉阶段、</w:t>
      </w:r>
      <w:r>
        <w:rPr>
          <w:rFonts w:ascii="Times New Roman" w:hAnsi="Times New Roman" w:eastAsia="仿宋" w:cs="Times New Roman"/>
          <w:sz w:val="32"/>
          <w:szCs w:val="32"/>
        </w:rPr>
        <w:t>一审阶段、二审阶段，每个阶段</w:t>
      </w:r>
      <w:r>
        <w:rPr>
          <w:rFonts w:ascii="Times New Roman" w:hAnsi="Times New Roman" w:eastAsia="仿宋" w:cs="Times New Roman"/>
          <w:sz w:val="32"/>
          <w:szCs w:val="32"/>
          <w:lang w:eastAsia="zh-Hans"/>
        </w:rPr>
        <w:t>8000元-10万元；上述阶段同时由本所律师代理的，可给予优惠，仅提供会见等临时阶段法律服务的，收费不低于</w:t>
      </w:r>
      <w:r>
        <w:rPr>
          <w:rFonts w:ascii="Times New Roman" w:hAnsi="Times New Roman" w:eastAsia="仿宋" w:cs="Times New Roman"/>
          <w:sz w:val="32"/>
          <w:szCs w:val="32"/>
        </w:rPr>
        <w:t>3000元；</w:t>
      </w:r>
    </w:p>
    <w:p w14:paraId="2E90104C">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Times New Roman" w:eastAsia="仿宋" w:cs="Times New Roman"/>
          <w:sz w:val="32"/>
          <w:szCs w:val="32"/>
        </w:rPr>
        <w:t>2.重审、申诉、再审，每件每阶段按照3-30万元收取，如上述案件经重审、申诉、再审，又涉及一审、二审阶段及其他阶段的，则每个阶段另行按照本条对应的费用加收；</w:t>
      </w:r>
    </w:p>
    <w:p w14:paraId="30DEEB77">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Times New Roman" w:eastAsia="仿宋" w:cs="Times New Roman"/>
          <w:sz w:val="32"/>
          <w:szCs w:val="32"/>
        </w:rPr>
        <w:t>3、案件涉及有财产及其他标的，参照本标准第二章第二节的规定执行。</w:t>
      </w:r>
    </w:p>
    <w:p w14:paraId="2BA2D4B7">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担任刑事案件自诉人、被害人的代理人：</w:t>
      </w:r>
      <w:r>
        <w:rPr>
          <w:rFonts w:ascii="Times New Roman" w:hAnsi="Times New Roman" w:eastAsia="仿宋" w:cs="Times New Roman"/>
          <w:sz w:val="32"/>
          <w:szCs w:val="32"/>
        </w:rPr>
        <w:t>1万</w:t>
      </w:r>
      <w:r>
        <w:rPr>
          <w:rFonts w:ascii="Times New Roman" w:hAnsi="Times New Roman" w:eastAsia="仿宋" w:cs="Times New Roman"/>
          <w:sz w:val="32"/>
          <w:szCs w:val="32"/>
          <w:lang w:eastAsia="zh-Hans"/>
        </w:rPr>
        <w:t>元</w:t>
      </w:r>
      <w:r>
        <w:rPr>
          <w:rFonts w:ascii="Times New Roman" w:hAnsi="Times New Roman" w:eastAsia="仿宋" w:cs="Times New Roman"/>
          <w:sz w:val="32"/>
          <w:szCs w:val="32"/>
        </w:rPr>
        <w:t>-10万元</w:t>
      </w:r>
      <w:r>
        <w:rPr>
          <w:rFonts w:ascii="Times New Roman" w:hAnsi="Times New Roman" w:eastAsia="仿宋" w:cs="Times New Roman"/>
          <w:sz w:val="32"/>
          <w:szCs w:val="32"/>
          <w:lang w:eastAsia="zh-Hans"/>
        </w:rPr>
        <w:t>/件，也可按标的额的百分比进行收费（具体收费比例可参照</w:t>
      </w:r>
      <w:r>
        <w:rPr>
          <w:rFonts w:ascii="Times New Roman" w:hAnsi="Times New Roman" w:eastAsia="仿宋" w:cs="Times New Roman"/>
          <w:sz w:val="32"/>
          <w:szCs w:val="32"/>
        </w:rPr>
        <w:t>本标准</w:t>
      </w:r>
      <w:r>
        <w:rPr>
          <w:rFonts w:ascii="Times New Roman" w:hAnsi="Times New Roman" w:eastAsia="仿宋" w:cs="Times New Roman"/>
          <w:sz w:val="32"/>
          <w:szCs w:val="32"/>
          <w:lang w:eastAsia="zh-Hans"/>
        </w:rPr>
        <w:t>中民事诉讼收费标准予以收取，由委托人与本所协商确定，但律师收取的服务费总金额不得低于相同标的额民事案件一审应当收取的费用）。</w:t>
      </w:r>
    </w:p>
    <w:p w14:paraId="2FBAA8E2">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lang w:eastAsia="zh-Hans"/>
        </w:rPr>
        <w:t>刑事附带民事案件的律师费用参照本标准中民事诉讼</w:t>
      </w:r>
      <w:r>
        <w:rPr>
          <w:rFonts w:ascii="Times New Roman" w:hAnsi="Times New Roman" w:eastAsia="仿宋" w:cs="Times New Roman"/>
          <w:sz w:val="32"/>
          <w:szCs w:val="32"/>
        </w:rPr>
        <w:t>收费标准</w:t>
      </w:r>
      <w:r>
        <w:rPr>
          <w:rFonts w:ascii="Times New Roman" w:hAnsi="Times New Roman" w:eastAsia="仿宋" w:cs="Times New Roman"/>
          <w:sz w:val="32"/>
          <w:szCs w:val="32"/>
          <w:lang w:eastAsia="zh-Hans"/>
        </w:rPr>
        <w:t>予以收取</w:t>
      </w:r>
      <w:r>
        <w:rPr>
          <w:rFonts w:ascii="Times New Roman" w:hAnsi="Times New Roman" w:eastAsia="仿宋" w:cs="Times New Roman"/>
          <w:sz w:val="32"/>
          <w:szCs w:val="32"/>
        </w:rPr>
        <w:t>。</w:t>
      </w:r>
    </w:p>
    <w:p w14:paraId="1707C743">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rPr>
        <w:t>第二十条</w:t>
      </w:r>
      <w:r>
        <w:rPr>
          <w:rFonts w:ascii="Times New Roman" w:hAnsi="Times New Roman" w:eastAsia="仿宋" w:cs="Times New Roman"/>
          <w:sz w:val="32"/>
          <w:szCs w:val="32"/>
        </w:rPr>
        <w:t xml:space="preserve"> </w:t>
      </w:r>
      <w:r>
        <w:rPr>
          <w:rFonts w:ascii="Times New Roman" w:hAnsi="Times New Roman" w:eastAsia="仿宋" w:cs="Times New Roman"/>
          <w:sz w:val="32"/>
          <w:szCs w:val="32"/>
          <w:lang w:eastAsia="zh-Hans"/>
        </w:rPr>
        <w:t>不能采取或变相采取风险代理收费的，参照本标准第二章第二节的规定执行。</w:t>
      </w:r>
    </w:p>
    <w:p w14:paraId="6C92C368">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rPr>
        <w:t>第二十</w:t>
      </w:r>
      <w:r>
        <w:rPr>
          <w:rFonts w:ascii="Times New Roman" w:hAnsi="Times New Roman" w:eastAsia="仿宋" w:cs="Times New Roman"/>
          <w:b/>
          <w:bCs/>
          <w:sz w:val="32"/>
          <w:szCs w:val="32"/>
          <w:lang w:eastAsia="zh-Hans"/>
        </w:rPr>
        <w:t>一</w:t>
      </w:r>
      <w:r>
        <w:rPr>
          <w:rFonts w:ascii="Times New Roman" w:hAnsi="Times New Roman" w:eastAsia="仿宋" w:cs="Times New Roman"/>
          <w:b/>
          <w:bCs/>
          <w:sz w:val="32"/>
          <w:szCs w:val="32"/>
        </w:rPr>
        <w:t xml:space="preserve">条 </w:t>
      </w:r>
      <w:r>
        <w:rPr>
          <w:rFonts w:ascii="Times New Roman" w:hAnsi="Times New Roman" w:eastAsia="仿宋" w:cs="Times New Roman"/>
          <w:sz w:val="32"/>
          <w:szCs w:val="32"/>
          <w:lang w:eastAsia="zh-Hans"/>
        </w:rPr>
        <w:t>代理国家赔偿案件可实行计件收费，每件收取</w:t>
      </w:r>
      <w:r>
        <w:rPr>
          <w:rFonts w:ascii="Times New Roman" w:hAnsi="Times New Roman" w:eastAsia="仿宋" w:cs="Times New Roman"/>
          <w:sz w:val="32"/>
          <w:szCs w:val="32"/>
        </w:rPr>
        <w:t>1万元-20万</w:t>
      </w:r>
      <w:r>
        <w:rPr>
          <w:rFonts w:ascii="Times New Roman" w:hAnsi="Times New Roman" w:eastAsia="仿宋" w:cs="Times New Roman"/>
          <w:sz w:val="32"/>
          <w:szCs w:val="32"/>
          <w:lang w:eastAsia="zh-Hans"/>
        </w:rPr>
        <w:t>元；也可按标的额的百分比进行收费（参照本标准中民事案件收费标准予以收取，由委托人与本所协商确定，但律师事务所收取的服务费总金额不得低于相同标的额民事案件一审应当收取的费用），但不能采取风险代理收费。</w:t>
      </w:r>
    </w:p>
    <w:p w14:paraId="56BDD8FF">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第二十</w:t>
      </w:r>
      <w:r>
        <w:rPr>
          <w:rFonts w:ascii="Times New Roman" w:hAnsi="Times New Roman" w:eastAsia="仿宋" w:cs="Times New Roman"/>
          <w:b/>
          <w:bCs/>
          <w:sz w:val="32"/>
          <w:szCs w:val="32"/>
          <w:lang w:eastAsia="zh-Hans"/>
        </w:rPr>
        <w:t>二</w:t>
      </w:r>
      <w:r>
        <w:rPr>
          <w:rFonts w:ascii="Times New Roman" w:hAnsi="Times New Roman" w:eastAsia="仿宋" w:cs="Times New Roman"/>
          <w:b/>
          <w:bCs/>
          <w:sz w:val="32"/>
          <w:szCs w:val="32"/>
        </w:rPr>
        <w:t xml:space="preserve">条 </w:t>
      </w:r>
      <w:r>
        <w:rPr>
          <w:rFonts w:ascii="Times New Roman" w:hAnsi="Times New Roman" w:eastAsia="仿宋" w:cs="Times New Roman"/>
          <w:sz w:val="32"/>
          <w:szCs w:val="32"/>
          <w:lang w:eastAsia="zh-Hans"/>
        </w:rPr>
        <w:t>代理行政诉讼一审、二审、发回重审、复议、听证</w:t>
      </w:r>
      <w:r>
        <w:rPr>
          <w:rFonts w:ascii="Times New Roman" w:hAnsi="Times New Roman" w:eastAsia="仿宋" w:cs="Times New Roman"/>
          <w:sz w:val="32"/>
          <w:szCs w:val="32"/>
        </w:rPr>
        <w:t>、申诉</w:t>
      </w:r>
      <w:r>
        <w:rPr>
          <w:rFonts w:ascii="Times New Roman" w:hAnsi="Times New Roman" w:eastAsia="仿宋" w:cs="Times New Roman"/>
          <w:sz w:val="32"/>
          <w:szCs w:val="32"/>
          <w:lang w:eastAsia="zh-Hans"/>
        </w:rPr>
        <w:t>等案件的收费标准，参照</w:t>
      </w:r>
      <w:r>
        <w:rPr>
          <w:rFonts w:ascii="Times New Roman" w:hAnsi="Times New Roman" w:eastAsia="仿宋" w:cs="Times New Roman"/>
          <w:sz w:val="32"/>
          <w:szCs w:val="32"/>
        </w:rPr>
        <w:t>本</w:t>
      </w:r>
      <w:r>
        <w:rPr>
          <w:rFonts w:ascii="Times New Roman" w:hAnsi="Times New Roman" w:eastAsia="仿宋" w:cs="Times New Roman"/>
          <w:sz w:val="32"/>
          <w:szCs w:val="32"/>
          <w:lang w:eastAsia="zh-Hans"/>
        </w:rPr>
        <w:t>收费标准执行，但不得适用风险代理收费</w:t>
      </w:r>
      <w:r>
        <w:rPr>
          <w:rFonts w:ascii="Times New Roman" w:hAnsi="Times New Roman" w:eastAsia="仿宋" w:cs="Times New Roman"/>
          <w:sz w:val="32"/>
          <w:szCs w:val="32"/>
        </w:rPr>
        <w:t>。</w:t>
      </w:r>
    </w:p>
    <w:p w14:paraId="0E28A183">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Times New Roman" w:eastAsia="仿宋" w:cs="Times New Roman"/>
          <w:b/>
          <w:sz w:val="32"/>
          <w:szCs w:val="32"/>
        </w:rPr>
        <w:t>第二十三条</w:t>
      </w:r>
      <w:r>
        <w:rPr>
          <w:rFonts w:ascii="Times New Roman" w:hAnsi="Times New Roman" w:eastAsia="仿宋" w:cs="Times New Roman"/>
          <w:sz w:val="32"/>
          <w:szCs w:val="32"/>
        </w:rPr>
        <w:t xml:space="preserve"> 法律咨询收费按件/次，每件不低于200元/次，限时1小时以内。每件/次法律咨询收费的上限为1万元/次，限时1小时以内。</w:t>
      </w:r>
    </w:p>
    <w:p w14:paraId="27566618">
      <w:pPr>
        <w:keepNext w:val="0"/>
        <w:keepLines w:val="0"/>
        <w:pageBreakBefore w:val="0"/>
        <w:widowControl/>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黑体" w:cs="Times New Roman"/>
          <w:bCs/>
          <w:sz w:val="32"/>
          <w:szCs w:val="32"/>
          <w:lang w:eastAsia="zh-Hans"/>
        </w:rPr>
      </w:pPr>
      <w:r>
        <w:rPr>
          <w:rFonts w:ascii="Times New Roman" w:hAnsi="Times New Roman" w:eastAsia="黑体" w:cs="Times New Roman"/>
          <w:bCs/>
          <w:sz w:val="32"/>
          <w:szCs w:val="32"/>
          <w:lang w:eastAsia="zh-Hans"/>
        </w:rPr>
        <w:t>第三章 上浮收费标准</w:t>
      </w:r>
    </w:p>
    <w:p w14:paraId="7CC90FC7">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第二十</w:t>
      </w:r>
      <w:r>
        <w:rPr>
          <w:rFonts w:ascii="Times New Roman" w:hAnsi="Times New Roman" w:eastAsia="仿宋" w:cs="Times New Roman"/>
          <w:b/>
          <w:bCs/>
          <w:sz w:val="32"/>
          <w:szCs w:val="32"/>
          <w:lang w:eastAsia="zh-Hans"/>
        </w:rPr>
        <w:t>四</w:t>
      </w:r>
      <w:r>
        <w:rPr>
          <w:rFonts w:ascii="Times New Roman" w:hAnsi="Times New Roman" w:eastAsia="仿宋" w:cs="Times New Roman"/>
          <w:b/>
          <w:bCs/>
          <w:sz w:val="32"/>
          <w:szCs w:val="32"/>
        </w:rPr>
        <w:t xml:space="preserve">条 </w:t>
      </w:r>
      <w:r>
        <w:rPr>
          <w:rFonts w:ascii="Times New Roman" w:hAnsi="Times New Roman" w:eastAsia="仿宋" w:cs="Times New Roman"/>
          <w:sz w:val="32"/>
          <w:szCs w:val="32"/>
          <w:lang w:eastAsia="zh-Hans"/>
        </w:rPr>
        <w:t>选择计时收费的案件，如</w:t>
      </w:r>
      <w:r>
        <w:rPr>
          <w:rFonts w:ascii="Times New Roman" w:hAnsi="Times New Roman" w:eastAsia="仿宋" w:cs="Times New Roman"/>
          <w:sz w:val="32"/>
          <w:szCs w:val="32"/>
        </w:rPr>
        <w:t>涉及涉外（含港、澳、台）案件及重大、疑难、复杂及律师工作量大的民事诉讼、仲裁案件，可以在</w:t>
      </w:r>
      <w:r>
        <w:rPr>
          <w:rFonts w:ascii="Times New Roman" w:hAnsi="Times New Roman" w:eastAsia="仿宋" w:cs="Times New Roman"/>
          <w:sz w:val="32"/>
          <w:szCs w:val="32"/>
          <w:lang w:eastAsia="zh-Hans"/>
        </w:rPr>
        <w:t>计时收费标准</w:t>
      </w:r>
      <w:r>
        <w:rPr>
          <w:rFonts w:ascii="Times New Roman" w:hAnsi="Times New Roman" w:eastAsia="仿宋" w:cs="Times New Roman"/>
          <w:sz w:val="32"/>
          <w:szCs w:val="32"/>
        </w:rPr>
        <w:t>基础上再上浮不超过3倍收费。</w:t>
      </w:r>
    </w:p>
    <w:p w14:paraId="193D1630">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color w:val="FF0000"/>
          <w:sz w:val="32"/>
          <w:szCs w:val="32"/>
        </w:rPr>
      </w:pPr>
      <w:r>
        <w:rPr>
          <w:rFonts w:ascii="Times New Roman" w:hAnsi="Times New Roman" w:eastAsia="仿宋" w:cs="Times New Roman"/>
          <w:b/>
          <w:bCs/>
          <w:sz w:val="32"/>
          <w:szCs w:val="32"/>
          <w:lang w:eastAsia="zh-Hans"/>
        </w:rPr>
        <w:t>第</w:t>
      </w:r>
      <w:r>
        <w:rPr>
          <w:rFonts w:ascii="Times New Roman" w:hAnsi="Times New Roman" w:eastAsia="仿宋" w:cs="Times New Roman"/>
          <w:b/>
          <w:bCs/>
          <w:sz w:val="32"/>
          <w:szCs w:val="32"/>
        </w:rPr>
        <w:t>二十</w:t>
      </w:r>
      <w:r>
        <w:rPr>
          <w:rFonts w:ascii="Times New Roman" w:hAnsi="Times New Roman" w:eastAsia="仿宋" w:cs="Times New Roman"/>
          <w:b/>
          <w:bCs/>
          <w:sz w:val="32"/>
          <w:szCs w:val="32"/>
          <w:lang w:eastAsia="zh-Hans"/>
        </w:rPr>
        <w:t>五条</w:t>
      </w:r>
      <w:r>
        <w:rPr>
          <w:rFonts w:ascii="Times New Roman" w:hAnsi="Times New Roman" w:eastAsia="仿宋" w:cs="Times New Roman"/>
          <w:sz w:val="32"/>
          <w:szCs w:val="32"/>
          <w:lang w:eastAsia="zh-Hans"/>
        </w:rPr>
        <w:t xml:space="preserve"> </w:t>
      </w:r>
      <w:r>
        <w:rPr>
          <w:rFonts w:ascii="Times New Roman" w:hAnsi="Times New Roman" w:eastAsia="仿宋" w:cs="Times New Roman"/>
          <w:sz w:val="32"/>
          <w:szCs w:val="32"/>
        </w:rPr>
        <w:t>涉外（含涉港、澳、台）案件的收费标准，原则上按照</w:t>
      </w:r>
      <w:r>
        <w:rPr>
          <w:rFonts w:ascii="Times New Roman" w:hAnsi="Times New Roman" w:eastAsia="仿宋" w:cs="Times New Roman"/>
          <w:sz w:val="32"/>
          <w:szCs w:val="32"/>
          <w:lang w:eastAsia="zh-Hans"/>
        </w:rPr>
        <w:t>本</w:t>
      </w:r>
      <w:r>
        <w:rPr>
          <w:rFonts w:ascii="Times New Roman" w:hAnsi="Times New Roman" w:eastAsia="仿宋" w:cs="Times New Roman"/>
          <w:sz w:val="32"/>
          <w:szCs w:val="32"/>
        </w:rPr>
        <w:t>收费标准</w:t>
      </w:r>
      <w:r>
        <w:rPr>
          <w:rFonts w:ascii="Times New Roman" w:hAnsi="Times New Roman" w:eastAsia="仿宋" w:cs="Times New Roman"/>
          <w:sz w:val="32"/>
          <w:szCs w:val="32"/>
          <w:lang w:eastAsia="zh-Hans"/>
        </w:rPr>
        <w:t>上浮80%-300%</w:t>
      </w:r>
      <w:r>
        <w:rPr>
          <w:rFonts w:ascii="Times New Roman" w:hAnsi="Times New Roman" w:eastAsia="仿宋" w:cs="Times New Roman"/>
          <w:sz w:val="32"/>
          <w:szCs w:val="32"/>
        </w:rPr>
        <w:t>执行。如果涉及到多语种法律服务的，可以在标准基础上再上浮不超过</w:t>
      </w:r>
      <w:r>
        <w:rPr>
          <w:rFonts w:ascii="Times New Roman" w:hAnsi="Times New Roman" w:eastAsia="仿宋" w:cs="Times New Roman"/>
          <w:sz w:val="32"/>
          <w:szCs w:val="32"/>
          <w:lang w:eastAsia="zh-Hans"/>
        </w:rPr>
        <w:t>5</w:t>
      </w:r>
      <w:r>
        <w:rPr>
          <w:rFonts w:ascii="Times New Roman" w:hAnsi="Times New Roman" w:eastAsia="仿宋" w:cs="Times New Roman"/>
          <w:sz w:val="32"/>
          <w:szCs w:val="32"/>
        </w:rPr>
        <w:t>倍收费。</w:t>
      </w:r>
    </w:p>
    <w:p w14:paraId="0DBF26A3">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bCs/>
          <w:sz w:val="32"/>
          <w:szCs w:val="32"/>
          <w:lang w:eastAsia="zh-Hans"/>
        </w:rPr>
        <w:t xml:space="preserve">第二十六条 </w:t>
      </w:r>
      <w:r>
        <w:rPr>
          <w:rFonts w:ascii="Times New Roman" w:hAnsi="Times New Roman" w:eastAsia="仿宋" w:cs="Times New Roman"/>
          <w:sz w:val="32"/>
          <w:szCs w:val="32"/>
        </w:rPr>
        <w:t>对于重大、疑难、复杂及律师工作量大的民事诉讼、仲裁案件，可以在民事诉讼案件一审阶段的收费标准基础上再上浮不超过3倍收费。下列案件为重大、疑难、复杂民事诉讼、仲裁案件：</w:t>
      </w:r>
    </w:p>
    <w:p w14:paraId="4C7EA94B">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(1)由中级以上人民法院受理一审的案件；</w:t>
      </w:r>
    </w:p>
    <w:p w14:paraId="10ED2319">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(2)当事人一方人数在3 人及3 人以上的共同诉讼案件；</w:t>
      </w:r>
    </w:p>
    <w:p w14:paraId="1D19BAE4">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(3)知识产权纠纷案、不正当竞争纠纷案、商誉权、名誉权纠纷等案件；</w:t>
      </w:r>
    </w:p>
    <w:p w14:paraId="4E6ED702">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(4)取证困难的案件；</w:t>
      </w:r>
    </w:p>
    <w:p w14:paraId="4209DCA1">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(5)新类型案件；</w:t>
      </w:r>
    </w:p>
    <w:p w14:paraId="1AA5588E">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(6)涉及两个以上法律关系的案件；</w:t>
      </w:r>
    </w:p>
    <w:p w14:paraId="640A3D43">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(7)涉及专业知识，需要聘请具备非法律专业知识的人员协助方能办理的案件；</w:t>
      </w:r>
    </w:p>
    <w:p w14:paraId="3E774AD4">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(8)其他经本所与委托人协商，双方认为属于重大、疑难、复杂的民事诉讼、仲裁案件。</w:t>
      </w:r>
    </w:p>
    <w:p w14:paraId="08251BC4">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w:t>
      </w:r>
      <w:r>
        <w:rPr>
          <w:rFonts w:ascii="Times New Roman" w:hAnsi="Times New Roman" w:eastAsia="仿宋" w:cs="Times New Roman"/>
          <w:b/>
          <w:bCs/>
          <w:sz w:val="32"/>
          <w:szCs w:val="32"/>
          <w:lang w:eastAsia="zh-Hans"/>
        </w:rPr>
        <w:t>二十七</w:t>
      </w:r>
      <w:r>
        <w:rPr>
          <w:rFonts w:ascii="Times New Roman" w:hAnsi="Times New Roman" w:eastAsia="仿宋" w:cs="Times New Roman"/>
          <w:b/>
          <w:bCs/>
          <w:sz w:val="32"/>
          <w:szCs w:val="32"/>
        </w:rPr>
        <w:t>条</w:t>
      </w:r>
      <w:r>
        <w:rPr>
          <w:rFonts w:ascii="Times New Roman" w:hAnsi="Times New Roman" w:eastAsia="仿宋" w:cs="Times New Roman"/>
          <w:sz w:val="32"/>
          <w:szCs w:val="32"/>
        </w:rPr>
        <w:t xml:space="preserve"> </w:t>
      </w:r>
      <w:r>
        <w:rPr>
          <w:rFonts w:ascii="Times New Roman" w:hAnsi="Times New Roman" w:eastAsia="仿宋" w:cs="Times New Roman"/>
          <w:sz w:val="32"/>
          <w:szCs w:val="32"/>
          <w:lang w:eastAsia="zh-Hans"/>
        </w:rPr>
        <w:t>代理民事申诉案件，按照代理民事诉讼案件按一审阶段收费标准</w:t>
      </w:r>
      <w:r>
        <w:rPr>
          <w:rFonts w:ascii="Times New Roman" w:hAnsi="Times New Roman" w:eastAsia="仿宋" w:cs="Times New Roman"/>
          <w:sz w:val="32"/>
          <w:szCs w:val="32"/>
        </w:rPr>
        <w:t>的150%</w:t>
      </w:r>
      <w:r>
        <w:rPr>
          <w:rFonts w:ascii="Times New Roman" w:hAnsi="Times New Roman" w:eastAsia="仿宋" w:cs="Times New Roman"/>
          <w:sz w:val="32"/>
          <w:szCs w:val="32"/>
          <w:lang w:eastAsia="zh-Hans"/>
        </w:rPr>
        <w:t>收费；重大、疑难、复杂及律师工作量大的民事申诉案件可以上浮不超过</w:t>
      </w:r>
      <w:r>
        <w:rPr>
          <w:rFonts w:ascii="Times New Roman" w:hAnsi="Times New Roman" w:eastAsia="仿宋" w:cs="Times New Roman"/>
          <w:sz w:val="32"/>
          <w:szCs w:val="32"/>
        </w:rPr>
        <w:t>3</w:t>
      </w:r>
      <w:r>
        <w:rPr>
          <w:rFonts w:ascii="Times New Roman" w:hAnsi="Times New Roman" w:eastAsia="仿宋" w:cs="Times New Roman"/>
          <w:sz w:val="32"/>
          <w:szCs w:val="32"/>
          <w:lang w:eastAsia="zh-Hans"/>
        </w:rPr>
        <w:t>倍收费，亦可按本收费标准进行风险代理或者计时收费。</w:t>
      </w:r>
    </w:p>
    <w:p w14:paraId="0DB04B27">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第二十</w:t>
      </w:r>
      <w:r>
        <w:rPr>
          <w:rFonts w:ascii="Times New Roman" w:hAnsi="Times New Roman" w:eastAsia="仿宋" w:cs="Times New Roman"/>
          <w:b/>
          <w:bCs/>
          <w:sz w:val="32"/>
          <w:szCs w:val="32"/>
          <w:lang w:eastAsia="zh-Hans"/>
        </w:rPr>
        <w:t>八</w:t>
      </w:r>
      <w:r>
        <w:rPr>
          <w:rFonts w:ascii="Times New Roman" w:hAnsi="Times New Roman" w:eastAsia="仿宋" w:cs="Times New Roman"/>
          <w:b/>
          <w:bCs/>
          <w:sz w:val="32"/>
          <w:szCs w:val="32"/>
        </w:rPr>
        <w:t xml:space="preserve">条 </w:t>
      </w:r>
      <w:r>
        <w:rPr>
          <w:rFonts w:ascii="Times New Roman" w:hAnsi="Times New Roman" w:eastAsia="仿宋" w:cs="Times New Roman"/>
          <w:sz w:val="32"/>
          <w:szCs w:val="32"/>
          <w:lang w:eastAsia="zh-Hans"/>
        </w:rPr>
        <w:t>单独承办执行案件，如</w:t>
      </w:r>
      <w:r>
        <w:rPr>
          <w:rFonts w:ascii="Times New Roman" w:hAnsi="Times New Roman" w:eastAsia="仿宋" w:cs="Times New Roman"/>
          <w:sz w:val="32"/>
          <w:szCs w:val="32"/>
        </w:rPr>
        <w:t>执行难度大，执行程序复杂的重大执行案件，按一审阶段收费标准3倍收费。</w:t>
      </w:r>
    </w:p>
    <w:p w14:paraId="78F67D32">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第二十</w:t>
      </w:r>
      <w:r>
        <w:rPr>
          <w:rFonts w:ascii="Times New Roman" w:hAnsi="Times New Roman" w:eastAsia="仿宋" w:cs="Times New Roman"/>
          <w:b/>
          <w:bCs/>
          <w:sz w:val="32"/>
          <w:szCs w:val="32"/>
          <w:lang w:eastAsia="zh-Hans"/>
        </w:rPr>
        <w:t>九</w:t>
      </w:r>
      <w:r>
        <w:rPr>
          <w:rFonts w:ascii="Times New Roman" w:hAnsi="Times New Roman" w:eastAsia="仿宋" w:cs="Times New Roman"/>
          <w:b/>
          <w:bCs/>
          <w:sz w:val="32"/>
          <w:szCs w:val="32"/>
        </w:rPr>
        <w:t xml:space="preserve">条 </w:t>
      </w:r>
      <w:r>
        <w:rPr>
          <w:rFonts w:ascii="Times New Roman" w:hAnsi="Times New Roman" w:eastAsia="仿宋" w:cs="Times New Roman"/>
          <w:sz w:val="32"/>
          <w:szCs w:val="32"/>
        </w:rPr>
        <w:t>办理</w:t>
      </w:r>
      <w:r>
        <w:rPr>
          <w:rFonts w:ascii="Times New Roman" w:hAnsi="Times New Roman" w:eastAsia="仿宋" w:cs="Times New Roman"/>
          <w:sz w:val="32"/>
          <w:szCs w:val="32"/>
          <w:lang w:eastAsia="zh-Hans"/>
        </w:rPr>
        <w:t>异地、</w:t>
      </w:r>
      <w:r>
        <w:rPr>
          <w:rFonts w:ascii="Times New Roman" w:hAnsi="Times New Roman" w:eastAsia="仿宋" w:cs="Times New Roman"/>
          <w:sz w:val="32"/>
          <w:szCs w:val="32"/>
        </w:rPr>
        <w:t>重大、疑难、复杂、</w:t>
      </w:r>
      <w:r>
        <w:rPr>
          <w:rFonts w:ascii="Times New Roman" w:hAnsi="Times New Roman" w:eastAsia="仿宋" w:cs="Times New Roman"/>
          <w:sz w:val="32"/>
          <w:szCs w:val="32"/>
          <w:lang w:eastAsia="zh-Hans"/>
        </w:rPr>
        <w:t>社会影响较大</w:t>
      </w:r>
      <w:r>
        <w:rPr>
          <w:rFonts w:ascii="Times New Roman" w:hAnsi="Times New Roman" w:eastAsia="仿宋" w:cs="Times New Roman"/>
          <w:sz w:val="32"/>
          <w:szCs w:val="32"/>
        </w:rPr>
        <w:t>的刑事诉讼案件，可以在</w:t>
      </w:r>
      <w:r>
        <w:rPr>
          <w:rFonts w:ascii="Times New Roman" w:hAnsi="Times New Roman" w:eastAsia="仿宋" w:cs="Times New Roman"/>
          <w:sz w:val="32"/>
          <w:szCs w:val="32"/>
          <w:lang w:eastAsia="zh-Hans"/>
        </w:rPr>
        <w:t>本收费</w:t>
      </w:r>
      <w:r>
        <w:rPr>
          <w:rFonts w:ascii="Times New Roman" w:hAnsi="Times New Roman" w:eastAsia="仿宋" w:cs="Times New Roman"/>
          <w:sz w:val="32"/>
          <w:szCs w:val="32"/>
        </w:rPr>
        <w:t>标准</w:t>
      </w:r>
      <w:r>
        <w:rPr>
          <w:rFonts w:ascii="Times New Roman" w:hAnsi="Times New Roman" w:eastAsia="仿宋" w:cs="Times New Roman"/>
          <w:sz w:val="32"/>
          <w:szCs w:val="32"/>
          <w:lang w:eastAsia="zh-Hans"/>
        </w:rPr>
        <w:t>中刑事收费标准基础</w:t>
      </w:r>
      <w:r>
        <w:rPr>
          <w:rFonts w:ascii="Times New Roman" w:hAnsi="Times New Roman" w:eastAsia="仿宋" w:cs="Times New Roman"/>
          <w:sz w:val="32"/>
          <w:szCs w:val="32"/>
        </w:rPr>
        <w:t>6倍之内协商确定收费。</w:t>
      </w:r>
    </w:p>
    <w:p w14:paraId="11C1F5FC">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b/>
          <w:bCs/>
          <w:sz w:val="32"/>
          <w:szCs w:val="32"/>
          <w:lang w:eastAsia="zh-Hans"/>
        </w:rPr>
      </w:pPr>
      <w:r>
        <w:rPr>
          <w:rFonts w:ascii="Times New Roman" w:hAnsi="Times New Roman" w:eastAsia="仿宋" w:cs="Times New Roman"/>
          <w:b/>
          <w:bCs/>
          <w:sz w:val="32"/>
          <w:szCs w:val="32"/>
          <w:lang w:eastAsia="zh-Hans"/>
        </w:rPr>
        <w:t>第三十条</w:t>
      </w:r>
      <w:r>
        <w:rPr>
          <w:rFonts w:ascii="Times New Roman" w:hAnsi="Times New Roman" w:eastAsia="仿宋" w:cs="Times New Roman"/>
          <w:sz w:val="32"/>
          <w:szCs w:val="32"/>
          <w:lang w:eastAsia="zh-Hans"/>
        </w:rPr>
        <w:t xml:space="preserve"> </w:t>
      </w:r>
      <w:r>
        <w:rPr>
          <w:rFonts w:ascii="Times New Roman" w:hAnsi="Times New Roman" w:eastAsia="仿宋" w:cs="Times New Roman"/>
          <w:kern w:val="0"/>
          <w:sz w:val="32"/>
          <w:szCs w:val="32"/>
          <w:lang w:eastAsia="zh-Hans"/>
        </w:rPr>
        <w:t>委托人选定或要求本所指派四川省律师协会评选的专业律师或具有中、高级职称的律师办理或参与办理的案件（除风险代理外），可按本收费标准上浮30%至3倍收费。</w:t>
      </w:r>
    </w:p>
    <w:p w14:paraId="019B5A84">
      <w:pPr>
        <w:keepNext w:val="0"/>
        <w:keepLines w:val="0"/>
        <w:pageBreakBefore w:val="0"/>
        <w:widowControl/>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黑体" w:cs="Times New Roman"/>
          <w:sz w:val="32"/>
          <w:szCs w:val="32"/>
        </w:rPr>
      </w:pPr>
      <w:r>
        <w:rPr>
          <w:rFonts w:ascii="Times New Roman" w:hAnsi="Times New Roman" w:eastAsia="黑体" w:cs="Times New Roman"/>
          <w:bCs/>
          <w:sz w:val="32"/>
          <w:szCs w:val="32"/>
          <w:lang w:eastAsia="zh-Hans"/>
        </w:rPr>
        <w:t>第四章 其他说明</w:t>
      </w:r>
    </w:p>
    <w:p w14:paraId="7961B848">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b/>
          <w:bCs/>
          <w:color w:val="FF0000"/>
          <w:sz w:val="32"/>
          <w:szCs w:val="32"/>
        </w:rPr>
      </w:pPr>
      <w:r>
        <w:rPr>
          <w:rFonts w:ascii="Times New Roman" w:hAnsi="Times New Roman" w:eastAsia="仿宋" w:cs="Times New Roman"/>
          <w:b/>
          <w:bCs/>
          <w:sz w:val="32"/>
          <w:szCs w:val="32"/>
          <w:lang w:eastAsia="zh-Hans"/>
        </w:rPr>
        <w:t>第三十一条</w:t>
      </w:r>
      <w:r>
        <w:rPr>
          <w:rFonts w:ascii="Times New Roman" w:hAnsi="Times New Roman" w:eastAsia="仿宋" w:cs="Times New Roman"/>
          <w:b/>
          <w:bCs/>
          <w:sz w:val="32"/>
          <w:szCs w:val="32"/>
        </w:rPr>
        <w:t xml:space="preserve"> </w:t>
      </w:r>
      <w:r>
        <w:rPr>
          <w:rFonts w:ascii="Times New Roman" w:hAnsi="Times New Roman" w:eastAsia="仿宋" w:cs="Times New Roman"/>
          <w:sz w:val="32"/>
          <w:szCs w:val="32"/>
          <w:lang w:eastAsia="zh-Hans"/>
        </w:rPr>
        <w:t>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14:paraId="236537E2">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w:t>
      </w:r>
      <w:r>
        <w:rPr>
          <w:rFonts w:ascii="Times New Roman" w:hAnsi="Times New Roman" w:eastAsia="仿宋" w:cs="Times New Roman"/>
          <w:b/>
          <w:bCs/>
          <w:sz w:val="32"/>
          <w:szCs w:val="32"/>
        </w:rPr>
        <w:t>三十</w:t>
      </w:r>
      <w:r>
        <w:rPr>
          <w:rFonts w:ascii="Times New Roman" w:hAnsi="Times New Roman" w:eastAsia="仿宋" w:cs="Times New Roman"/>
          <w:b/>
          <w:bCs/>
          <w:sz w:val="32"/>
          <w:szCs w:val="32"/>
          <w:lang w:eastAsia="zh-Hans"/>
        </w:rPr>
        <w:t>二条</w:t>
      </w:r>
      <w:r>
        <w:rPr>
          <w:rFonts w:ascii="Times New Roman" w:hAnsi="Times New Roman" w:eastAsia="仿宋" w:cs="Times New Roman"/>
          <w:sz w:val="32"/>
          <w:szCs w:val="32"/>
          <w:lang w:eastAsia="zh-Hans"/>
        </w:rPr>
        <w:t xml:space="preserve"> 本所参与投标或国有企事业单位、行政单位对报价或签约价有要求或限制的，可按照该要求或限制确定法律服务费。</w:t>
      </w:r>
    </w:p>
    <w:p w14:paraId="59F36E71">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w:t>
      </w:r>
      <w:r>
        <w:rPr>
          <w:rFonts w:ascii="Times New Roman" w:hAnsi="Times New Roman" w:eastAsia="仿宋" w:cs="Times New Roman"/>
          <w:b/>
          <w:bCs/>
          <w:sz w:val="32"/>
          <w:szCs w:val="32"/>
        </w:rPr>
        <w:t>三十</w:t>
      </w:r>
      <w:r>
        <w:rPr>
          <w:rFonts w:ascii="Times New Roman" w:hAnsi="Times New Roman" w:eastAsia="仿宋" w:cs="Times New Roman"/>
          <w:b/>
          <w:bCs/>
          <w:sz w:val="32"/>
          <w:szCs w:val="32"/>
          <w:lang w:eastAsia="zh-Hans"/>
        </w:rPr>
        <w:t>三条</w:t>
      </w:r>
      <w:r>
        <w:rPr>
          <w:rFonts w:ascii="Times New Roman" w:hAnsi="Times New Roman" w:eastAsia="仿宋" w:cs="Times New Roman"/>
          <w:b/>
          <w:bCs/>
          <w:sz w:val="32"/>
          <w:szCs w:val="32"/>
        </w:rPr>
        <w:t xml:space="preserve"> </w:t>
      </w:r>
      <w:r>
        <w:rPr>
          <w:rFonts w:ascii="Times New Roman" w:hAnsi="Times New Roman" w:eastAsia="仿宋" w:cs="Times New Roman"/>
          <w:sz w:val="32"/>
          <w:szCs w:val="32"/>
          <w:lang w:eastAsia="zh-Hans"/>
        </w:rPr>
        <w:t>对办理涉及农民工、残疾人等弱势群体或者与公益活动有关的法律服务事项，可以酌情减免律师服务费。</w:t>
      </w:r>
    </w:p>
    <w:p w14:paraId="1EEE8924">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第三十四条</w:t>
      </w:r>
      <w:r>
        <w:rPr>
          <w:rFonts w:ascii="Times New Roman" w:hAnsi="Times New Roman" w:eastAsia="仿宋" w:cs="Times New Roman"/>
          <w:sz w:val="32"/>
          <w:szCs w:val="32"/>
        </w:rPr>
        <w:t xml:space="preserve"> </w:t>
      </w:r>
      <w:r>
        <w:rPr>
          <w:rFonts w:ascii="Times New Roman" w:hAnsi="Times New Roman" w:eastAsia="仿宋" w:cs="Times New Roman"/>
          <w:sz w:val="32"/>
          <w:szCs w:val="32"/>
          <w:lang w:eastAsia="zh-Hans"/>
        </w:rPr>
        <w:t>律师接受指派的法律援助案件，不得向受援人收取任何费用。</w:t>
      </w:r>
    </w:p>
    <w:p w14:paraId="3F39AA40">
      <w:pPr>
        <w:keepNext w:val="0"/>
        <w:keepLines w:val="0"/>
        <w:pageBreakBefore w:val="0"/>
        <w:widowControl/>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律师在办理委托事项过程中，如发现委托人符合法律援助条件的，应告知委托人可以申请法律援助。</w:t>
      </w:r>
    </w:p>
    <w:p w14:paraId="2C45620F">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第三十五条</w:t>
      </w:r>
      <w:r>
        <w:rPr>
          <w:rFonts w:ascii="Times New Roman" w:hAnsi="Times New Roman" w:eastAsia="仿宋" w:cs="Times New Roman"/>
          <w:sz w:val="32"/>
          <w:szCs w:val="32"/>
          <w:lang w:eastAsia="zh-Hans"/>
        </w:rPr>
        <w:t xml:space="preserve"> 全体律师除前述第三十四条、</w:t>
      </w:r>
      <w:r>
        <w:rPr>
          <w:rFonts w:ascii="Times New Roman" w:hAnsi="Times New Roman" w:eastAsia="仿宋" w:cs="Times New Roman"/>
          <w:sz w:val="32"/>
          <w:szCs w:val="32"/>
        </w:rPr>
        <w:t>第三十</w:t>
      </w:r>
      <w:r>
        <w:rPr>
          <w:rFonts w:ascii="Times New Roman" w:hAnsi="Times New Roman" w:eastAsia="仿宋" w:cs="Times New Roman"/>
          <w:sz w:val="32"/>
          <w:szCs w:val="32"/>
          <w:lang w:eastAsia="zh-Hans"/>
        </w:rPr>
        <w:t>五条涉及案件外，其他案件收费应严格按本收费标准执行，</w:t>
      </w:r>
      <w:r>
        <w:rPr>
          <w:rFonts w:ascii="Times New Roman" w:hAnsi="Times New Roman" w:eastAsia="仿宋" w:cs="Times New Roman"/>
          <w:sz w:val="32"/>
          <w:szCs w:val="32"/>
        </w:rPr>
        <w:t>不得以争揽业务为目的，通过减收或免收律师服务费吸引委托人，进行</w:t>
      </w:r>
      <w:r>
        <w:rPr>
          <w:rFonts w:ascii="Times New Roman" w:hAnsi="Times New Roman" w:eastAsia="仿宋" w:cs="Times New Roman"/>
          <w:sz w:val="32"/>
          <w:szCs w:val="32"/>
          <w:lang w:eastAsia="zh-Hans"/>
        </w:rPr>
        <w:t>低价的不正当竞争</w:t>
      </w:r>
      <w:r>
        <w:rPr>
          <w:rFonts w:ascii="Times New Roman" w:hAnsi="Times New Roman" w:eastAsia="仿宋" w:cs="Times New Roman"/>
          <w:sz w:val="32"/>
          <w:szCs w:val="32"/>
        </w:rPr>
        <w:t>。</w:t>
      </w:r>
    </w:p>
    <w:p w14:paraId="70CA9D81">
      <w:pPr>
        <w:keepNext w:val="0"/>
        <w:keepLines w:val="0"/>
        <w:pageBreakBefore w:val="0"/>
        <w:widowControl/>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黑体" w:cs="Times New Roman"/>
          <w:bCs/>
          <w:sz w:val="32"/>
          <w:szCs w:val="32"/>
          <w:lang w:eastAsia="zh-Hans"/>
        </w:rPr>
      </w:pPr>
      <w:r>
        <w:rPr>
          <w:rFonts w:ascii="Times New Roman" w:hAnsi="Times New Roman" w:eastAsia="黑体" w:cs="Times New Roman"/>
          <w:bCs/>
          <w:sz w:val="32"/>
          <w:szCs w:val="32"/>
          <w:lang w:eastAsia="zh-Hans"/>
        </w:rPr>
        <w:t>第</w:t>
      </w:r>
      <w:r>
        <w:rPr>
          <w:rFonts w:ascii="Times New Roman" w:hAnsi="Times New Roman" w:eastAsia="黑体" w:cs="Times New Roman"/>
          <w:bCs/>
          <w:sz w:val="32"/>
          <w:szCs w:val="32"/>
        </w:rPr>
        <w:t>五</w:t>
      </w:r>
      <w:r>
        <w:rPr>
          <w:rFonts w:ascii="Times New Roman" w:hAnsi="Times New Roman" w:eastAsia="黑体" w:cs="Times New Roman"/>
          <w:bCs/>
          <w:sz w:val="32"/>
          <w:szCs w:val="32"/>
          <w:lang w:eastAsia="zh-Hans"/>
        </w:rPr>
        <w:t>章 附则</w:t>
      </w:r>
    </w:p>
    <w:p w14:paraId="3C7A212E">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kern w:val="0"/>
          <w:sz w:val="32"/>
          <w:szCs w:val="32"/>
          <w:lang w:eastAsia="zh-Hans"/>
        </w:rPr>
      </w:pPr>
      <w:r>
        <w:rPr>
          <w:rFonts w:ascii="Times New Roman" w:hAnsi="Times New Roman" w:eastAsia="仿宋" w:cs="Times New Roman"/>
          <w:b/>
          <w:bCs/>
          <w:kern w:val="0"/>
          <w:sz w:val="32"/>
          <w:szCs w:val="32"/>
          <w:lang w:eastAsia="zh-Hans"/>
        </w:rPr>
        <w:t>第</w:t>
      </w:r>
      <w:r>
        <w:rPr>
          <w:rFonts w:ascii="Times New Roman" w:hAnsi="Times New Roman" w:eastAsia="仿宋" w:cs="Times New Roman"/>
          <w:b/>
          <w:bCs/>
          <w:kern w:val="0"/>
          <w:sz w:val="32"/>
          <w:szCs w:val="32"/>
        </w:rPr>
        <w:t>三十</w:t>
      </w:r>
      <w:r>
        <w:rPr>
          <w:rFonts w:ascii="Times New Roman" w:hAnsi="Times New Roman" w:eastAsia="仿宋" w:cs="Times New Roman"/>
          <w:b/>
          <w:bCs/>
          <w:kern w:val="0"/>
          <w:sz w:val="32"/>
          <w:szCs w:val="32"/>
          <w:lang w:eastAsia="zh-Hans"/>
        </w:rPr>
        <w:t>六条</w:t>
      </w:r>
      <w:r>
        <w:rPr>
          <w:rFonts w:ascii="Times New Roman" w:hAnsi="Times New Roman" w:eastAsia="仿宋" w:cs="Times New Roman"/>
          <w:kern w:val="0"/>
          <w:sz w:val="32"/>
          <w:szCs w:val="32"/>
          <w:lang w:eastAsia="zh-Hans"/>
        </w:rPr>
        <w:t xml:space="preserve"> 本收费标准应当按照相关规定予以备案，并在所内以公开方式公布已备案的律师服务收费标准，律师事务所全体律师严格遵照执行，并接受社会监督。</w:t>
      </w:r>
    </w:p>
    <w:p w14:paraId="62FEBD1C">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Times New Roman" w:eastAsia="仿宋" w:cs="Times New Roman"/>
          <w:b/>
          <w:bCs/>
          <w:kern w:val="0"/>
          <w:sz w:val="32"/>
          <w:szCs w:val="32"/>
        </w:rPr>
        <w:t>第三十七条</w:t>
      </w:r>
      <w:r>
        <w:rPr>
          <w:rFonts w:ascii="Times New Roman" w:hAnsi="Times New Roman" w:eastAsia="仿宋" w:cs="Times New Roman"/>
          <w:kern w:val="0"/>
          <w:sz w:val="32"/>
          <w:szCs w:val="32"/>
        </w:rPr>
        <w:t xml:space="preserve"> 本</w:t>
      </w:r>
      <w:r>
        <w:rPr>
          <w:rFonts w:ascii="Times New Roman" w:hAnsi="Times New Roman" w:eastAsia="仿宋" w:cs="Times New Roman"/>
          <w:kern w:val="0"/>
          <w:sz w:val="32"/>
          <w:szCs w:val="32"/>
          <w:lang w:eastAsia="zh-Hans"/>
        </w:rPr>
        <w:t>收费标准按照规定在德阳市律师协会同意备案后生效。</w:t>
      </w:r>
    </w:p>
    <w:p w14:paraId="319DB686">
      <w:pPr>
        <w:keepNext w:val="0"/>
        <w:keepLines w:val="0"/>
        <w:pageBreakBefore w:val="0"/>
        <w:kinsoku/>
        <w:wordWrap/>
        <w:overflowPunct/>
        <w:topLinePunct w:val="0"/>
        <w:autoSpaceDE/>
        <w:autoSpaceDN/>
        <w:bidi w:val="0"/>
        <w:adjustRightInd w:val="0"/>
        <w:snapToGrid w:val="0"/>
        <w:spacing w:line="540" w:lineRule="exact"/>
        <w:ind w:right="0"/>
        <w:textAlignment w:val="auto"/>
        <w:rPr>
          <w:rFonts w:ascii="Times New Roman" w:hAnsi="Times New Roman" w:eastAsia="仿宋" w:cs="Times New Roman"/>
          <w:sz w:val="32"/>
          <w:szCs w:val="32"/>
        </w:rPr>
      </w:pPr>
    </w:p>
    <w:p w14:paraId="6ED777FF">
      <w:pPr>
        <w:keepNext w:val="0"/>
        <w:keepLines w:val="0"/>
        <w:pageBreakBefore w:val="0"/>
        <w:kinsoku/>
        <w:wordWrap/>
        <w:overflowPunct/>
        <w:topLinePunct w:val="0"/>
        <w:autoSpaceDE/>
        <w:autoSpaceDN/>
        <w:bidi w:val="0"/>
        <w:adjustRightInd w:val="0"/>
        <w:snapToGrid w:val="0"/>
        <w:spacing w:line="540" w:lineRule="exact"/>
        <w:ind w:right="0"/>
        <w:textAlignment w:val="auto"/>
        <w:rPr>
          <w:rFonts w:ascii="Times New Roman" w:hAnsi="Times New Roman" w:eastAsia="仿宋" w:cs="Times New Roman"/>
          <w:sz w:val="28"/>
          <w:szCs w:val="36"/>
        </w:rPr>
      </w:pPr>
    </w:p>
    <w:p w14:paraId="0111816D">
      <w:pPr>
        <w:keepNext w:val="0"/>
        <w:keepLines w:val="0"/>
        <w:pageBreakBefore w:val="0"/>
        <w:kinsoku/>
        <w:wordWrap w:val="0"/>
        <w:overflowPunct/>
        <w:topLinePunct w:val="0"/>
        <w:autoSpaceDE/>
        <w:autoSpaceDN/>
        <w:bidi w:val="0"/>
        <w:adjustRightInd w:val="0"/>
        <w:snapToGrid w:val="0"/>
        <w:spacing w:line="54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Times New Roman" w:eastAsia="仿宋" w:cs="Times New Roman"/>
          <w:sz w:val="32"/>
          <w:szCs w:val="32"/>
        </w:rPr>
        <w:t>德阳市律师协会</w:t>
      </w:r>
      <w:r>
        <w:rPr>
          <w:rFonts w:hint="eastAsia" w:ascii="Times New Roman" w:hAnsi="Times New Roman" w:eastAsia="仿宋" w:cs="Times New Roman"/>
          <w:sz w:val="32"/>
          <w:szCs w:val="32"/>
          <w:lang w:val="en-US" w:eastAsia="zh-CN"/>
        </w:rPr>
        <w:t xml:space="preserve">     </w:t>
      </w:r>
    </w:p>
    <w:p w14:paraId="19354768">
      <w:pPr>
        <w:keepNext w:val="0"/>
        <w:keepLines w:val="0"/>
        <w:pageBreakBefore w:val="0"/>
        <w:kinsoku/>
        <w:wordWrap w:val="0"/>
        <w:overflowPunct/>
        <w:topLinePunct w:val="0"/>
        <w:autoSpaceDE/>
        <w:autoSpaceDN/>
        <w:bidi w:val="0"/>
        <w:adjustRightInd w:val="0"/>
        <w:snapToGrid w:val="0"/>
        <w:spacing w:line="54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Times New Roman" w:eastAsia="仿宋" w:cs="Times New Roman"/>
          <w:sz w:val="32"/>
          <w:szCs w:val="32"/>
        </w:rPr>
        <w:t>2025年4月30日</w:t>
      </w:r>
      <w:r>
        <w:rPr>
          <w:rFonts w:hint="eastAsia" w:ascii="Times New Roman" w:hAnsi="Times New Roman" w:eastAsia="仿宋" w:cs="Times New Roman"/>
          <w:sz w:val="32"/>
          <w:szCs w:val="32"/>
          <w:lang w:val="en-US" w:eastAsia="zh-CN"/>
        </w:rPr>
        <w:t xml:space="preserve">    </w:t>
      </w:r>
    </w:p>
    <w:sectPr>
      <w:footerReference r:id="rId3" w:type="default"/>
      <w:pgSz w:w="11906" w:h="16838"/>
      <w:pgMar w:top="1701"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DB5F2">
    <w:pPr>
      <w:pStyle w:val="6"/>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50E2DC9">
                <w:pPr>
                  <w:pStyle w:val="6"/>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54E75"/>
    <w:rsid w:val="00060B2C"/>
    <w:rsid w:val="00067278"/>
    <w:rsid w:val="00086D6F"/>
    <w:rsid w:val="000A5223"/>
    <w:rsid w:val="000B1A7D"/>
    <w:rsid w:val="000C0FD1"/>
    <w:rsid w:val="00115820"/>
    <w:rsid w:val="00150461"/>
    <w:rsid w:val="00163348"/>
    <w:rsid w:val="001702D6"/>
    <w:rsid w:val="00176683"/>
    <w:rsid w:val="001A6244"/>
    <w:rsid w:val="001B2CA9"/>
    <w:rsid w:val="001E4EC6"/>
    <w:rsid w:val="00215A7B"/>
    <w:rsid w:val="002644D8"/>
    <w:rsid w:val="0026763C"/>
    <w:rsid w:val="0027160D"/>
    <w:rsid w:val="00287CA0"/>
    <w:rsid w:val="002A714E"/>
    <w:rsid w:val="002A728B"/>
    <w:rsid w:val="002B64F3"/>
    <w:rsid w:val="002B66A4"/>
    <w:rsid w:val="002E0982"/>
    <w:rsid w:val="002F0502"/>
    <w:rsid w:val="002F49BF"/>
    <w:rsid w:val="003517FF"/>
    <w:rsid w:val="003959A6"/>
    <w:rsid w:val="003B4A86"/>
    <w:rsid w:val="003C2EE2"/>
    <w:rsid w:val="00404C3D"/>
    <w:rsid w:val="004128C2"/>
    <w:rsid w:val="00432A68"/>
    <w:rsid w:val="004C268B"/>
    <w:rsid w:val="004D1774"/>
    <w:rsid w:val="004D70C4"/>
    <w:rsid w:val="004F16A4"/>
    <w:rsid w:val="005245C8"/>
    <w:rsid w:val="005365FF"/>
    <w:rsid w:val="00546658"/>
    <w:rsid w:val="00557E26"/>
    <w:rsid w:val="00567584"/>
    <w:rsid w:val="005E7BD2"/>
    <w:rsid w:val="00650917"/>
    <w:rsid w:val="00671A76"/>
    <w:rsid w:val="00677DBB"/>
    <w:rsid w:val="00694C5B"/>
    <w:rsid w:val="006A380F"/>
    <w:rsid w:val="006B3265"/>
    <w:rsid w:val="006C311F"/>
    <w:rsid w:val="006C6CD7"/>
    <w:rsid w:val="006D6BB3"/>
    <w:rsid w:val="00701965"/>
    <w:rsid w:val="00751D1A"/>
    <w:rsid w:val="007752D3"/>
    <w:rsid w:val="00787CD5"/>
    <w:rsid w:val="007905CF"/>
    <w:rsid w:val="007A2BFD"/>
    <w:rsid w:val="007B2EEE"/>
    <w:rsid w:val="007B6A7C"/>
    <w:rsid w:val="007D09B9"/>
    <w:rsid w:val="007E4AD9"/>
    <w:rsid w:val="00827EA3"/>
    <w:rsid w:val="0085301A"/>
    <w:rsid w:val="008542A3"/>
    <w:rsid w:val="00892619"/>
    <w:rsid w:val="008B799B"/>
    <w:rsid w:val="008C65AC"/>
    <w:rsid w:val="00912D78"/>
    <w:rsid w:val="00915DD7"/>
    <w:rsid w:val="00924CFC"/>
    <w:rsid w:val="00973264"/>
    <w:rsid w:val="009928C2"/>
    <w:rsid w:val="009B0D09"/>
    <w:rsid w:val="009B2BF1"/>
    <w:rsid w:val="009C08AA"/>
    <w:rsid w:val="009C3763"/>
    <w:rsid w:val="00A2627D"/>
    <w:rsid w:val="00A40BE8"/>
    <w:rsid w:val="00A40DB8"/>
    <w:rsid w:val="00A5775E"/>
    <w:rsid w:val="00A75AA1"/>
    <w:rsid w:val="00AA4AE8"/>
    <w:rsid w:val="00B01490"/>
    <w:rsid w:val="00B70842"/>
    <w:rsid w:val="00B718AA"/>
    <w:rsid w:val="00B771F3"/>
    <w:rsid w:val="00BB26EC"/>
    <w:rsid w:val="00BC5366"/>
    <w:rsid w:val="00BF450A"/>
    <w:rsid w:val="00BF6BC4"/>
    <w:rsid w:val="00BF6CAF"/>
    <w:rsid w:val="00C22D97"/>
    <w:rsid w:val="00C31312"/>
    <w:rsid w:val="00C42A1D"/>
    <w:rsid w:val="00CB26F6"/>
    <w:rsid w:val="00CE1660"/>
    <w:rsid w:val="00D0276C"/>
    <w:rsid w:val="00D23FC9"/>
    <w:rsid w:val="00D246FF"/>
    <w:rsid w:val="00D253FE"/>
    <w:rsid w:val="00D40349"/>
    <w:rsid w:val="00D5718D"/>
    <w:rsid w:val="00D84124"/>
    <w:rsid w:val="00D94AA5"/>
    <w:rsid w:val="00DC11B8"/>
    <w:rsid w:val="00DD16F3"/>
    <w:rsid w:val="00E01070"/>
    <w:rsid w:val="00E31301"/>
    <w:rsid w:val="00E369BA"/>
    <w:rsid w:val="00E4778B"/>
    <w:rsid w:val="00E53727"/>
    <w:rsid w:val="00E64635"/>
    <w:rsid w:val="00E7708B"/>
    <w:rsid w:val="00EA5D3A"/>
    <w:rsid w:val="00EB53ED"/>
    <w:rsid w:val="00EE7309"/>
    <w:rsid w:val="00EF32BA"/>
    <w:rsid w:val="00F05E0C"/>
    <w:rsid w:val="00F10B1F"/>
    <w:rsid w:val="00F4514A"/>
    <w:rsid w:val="00F4553F"/>
    <w:rsid w:val="00F618B6"/>
    <w:rsid w:val="00F73074"/>
    <w:rsid w:val="00F9051A"/>
    <w:rsid w:val="00FB0721"/>
    <w:rsid w:val="00FE2E7F"/>
    <w:rsid w:val="0EED7D86"/>
    <w:rsid w:val="396664A7"/>
    <w:rsid w:val="53992205"/>
    <w:rsid w:val="5CBF615D"/>
    <w:rsid w:val="5E7CB07C"/>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unhideWhenUsed/>
    <w:qFormat/>
    <w:uiPriority w:val="99"/>
    <w:pPr>
      <w:spacing w:after="120" w:line="480" w:lineRule="exact"/>
    </w:pPr>
    <w:rPr>
      <w:rFonts w:ascii="Times New Roman" w:hAnsi="Times New Roman" w:eastAsia="宋体" w:cs="Times New Roman"/>
      <w:kern w:val="32"/>
      <w:sz w:val="32"/>
      <w:szCs w:val="32"/>
    </w:rPr>
  </w:style>
  <w:style w:type="paragraph" w:styleId="3">
    <w:name w:val="Body Text Indent"/>
    <w:basedOn w:val="1"/>
    <w:link w:val="17"/>
    <w:qFormat/>
    <w:uiPriority w:val="0"/>
    <w:pPr>
      <w:spacing w:after="120"/>
      <w:ind w:left="420" w:leftChars="200"/>
    </w:pPr>
  </w:style>
  <w:style w:type="paragraph" w:styleId="4">
    <w:name w:val="Date"/>
    <w:basedOn w:val="1"/>
    <w:next w:val="1"/>
    <w:link w:val="16"/>
    <w:qFormat/>
    <w:uiPriority w:val="0"/>
    <w:pPr>
      <w:ind w:left="100" w:leftChars="2500"/>
    </w:pPr>
  </w:style>
  <w:style w:type="paragraph" w:styleId="5">
    <w:name w:val="Balloon Text"/>
    <w:basedOn w:val="1"/>
    <w:link w:val="15"/>
    <w:uiPriority w:val="0"/>
    <w:rPr>
      <w:sz w:val="18"/>
      <w:szCs w:val="18"/>
    </w:rPr>
  </w:style>
  <w:style w:type="paragraph" w:styleId="6">
    <w:name w:val="footer"/>
    <w:basedOn w:val="1"/>
    <w:link w:val="14"/>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Body Text First Indent 2"/>
    <w:basedOn w:val="3"/>
    <w:link w:val="18"/>
    <w:qFormat/>
    <w:uiPriority w:val="0"/>
    <w:pPr>
      <w:spacing w:after="0"/>
      <w:ind w:firstLine="420" w:firstLineChars="200"/>
    </w:pPr>
    <w:rPr>
      <w:rFonts w:eastAsia="宋体" w:cs="宋体"/>
      <w:sz w:val="44"/>
      <w:szCs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页眉 Char"/>
    <w:basedOn w:val="12"/>
    <w:link w:val="7"/>
    <w:qFormat/>
    <w:uiPriority w:val="0"/>
    <w:rPr>
      <w:kern w:val="2"/>
      <w:sz w:val="18"/>
      <w:szCs w:val="18"/>
    </w:rPr>
  </w:style>
  <w:style w:type="character" w:customStyle="1" w:styleId="14">
    <w:name w:val="页脚 Char"/>
    <w:basedOn w:val="12"/>
    <w:link w:val="6"/>
    <w:qFormat/>
    <w:uiPriority w:val="0"/>
    <w:rPr>
      <w:kern w:val="2"/>
      <w:sz w:val="18"/>
      <w:szCs w:val="18"/>
    </w:rPr>
  </w:style>
  <w:style w:type="character" w:customStyle="1" w:styleId="15">
    <w:name w:val="批注框文本 Char"/>
    <w:basedOn w:val="12"/>
    <w:link w:val="5"/>
    <w:qFormat/>
    <w:uiPriority w:val="0"/>
    <w:rPr>
      <w:kern w:val="2"/>
      <w:sz w:val="18"/>
      <w:szCs w:val="18"/>
    </w:rPr>
  </w:style>
  <w:style w:type="character" w:customStyle="1" w:styleId="16">
    <w:name w:val="日期 Char"/>
    <w:basedOn w:val="12"/>
    <w:link w:val="4"/>
    <w:qFormat/>
    <w:uiPriority w:val="0"/>
    <w:rPr>
      <w:kern w:val="2"/>
      <w:sz w:val="21"/>
      <w:szCs w:val="24"/>
    </w:rPr>
  </w:style>
  <w:style w:type="character" w:customStyle="1" w:styleId="17">
    <w:name w:val="正文文本缩进 Char"/>
    <w:basedOn w:val="12"/>
    <w:link w:val="3"/>
    <w:uiPriority w:val="0"/>
    <w:rPr>
      <w:kern w:val="2"/>
      <w:sz w:val="21"/>
      <w:szCs w:val="24"/>
    </w:rPr>
  </w:style>
  <w:style w:type="character" w:customStyle="1" w:styleId="18">
    <w:name w:val="正文首行缩进 2 Char"/>
    <w:basedOn w:val="17"/>
    <w:link w:val="9"/>
    <w:qFormat/>
    <w:uiPriority w:val="0"/>
    <w:rPr>
      <w:rFonts w:eastAsia="宋体" w:cs="宋体"/>
      <w:kern w:val="2"/>
      <w:sz w:val="44"/>
      <w:szCs w:val="32"/>
    </w:rPr>
  </w:style>
  <w:style w:type="paragraph" w:customStyle="1" w:styleId="19">
    <w:name w:val="正文文本首行缩进1"/>
    <w:basedOn w:val="2"/>
    <w:qFormat/>
    <w:uiPriority w:val="0"/>
    <w:pPr>
      <w:ind w:firstLine="200" w:firstLineChars="200"/>
    </w:pPr>
    <w:rPr>
      <w:rFonts w:ascii="仿宋_GB2312" w:eastAsia="仿宋_GB2312"/>
    </w:rPr>
  </w:style>
  <w:style w:type="character" w:customStyle="1" w:styleId="20">
    <w:name w:val="正文文本 Char"/>
    <w:basedOn w:val="12"/>
    <w:qFormat/>
    <w:uiPriority w:val="0"/>
    <w:rPr>
      <w:kern w:val="2"/>
      <w:sz w:val="21"/>
      <w:szCs w:val="24"/>
    </w:rPr>
  </w:style>
  <w:style w:type="character" w:customStyle="1" w:styleId="21">
    <w:name w:val="正文文本 Char1"/>
    <w:link w:val="2"/>
    <w:qFormat/>
    <w:uiPriority w:val="99"/>
    <w:rPr>
      <w:rFonts w:ascii="Times New Roman" w:hAnsi="Times New Roman" w:eastAsia="宋体" w:cs="Times New Roman"/>
      <w:kern w:val="3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4848</Words>
  <Characters>5033</Characters>
  <Lines>36</Lines>
  <Paragraphs>10</Paragraphs>
  <TotalTime>0</TotalTime>
  <ScaleCrop>false</ScaleCrop>
  <LinksUpToDate>false</LinksUpToDate>
  <CharactersWithSpaces>5109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cp:lastPrinted>2025-05-23T08:33:47Z</cp:lastPrinted>
  <dcterms:modified xsi:type="dcterms:W3CDTF">2025-05-23T08:34:09Z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