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61</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w:t>
      </w:r>
      <w:bookmarkStart w:id="1" w:name="_GoBack"/>
      <w:bookmarkEnd w:id="1"/>
      <w:r>
        <w:rPr>
          <w:rFonts w:ascii="Times New Roman" w:hAnsi="方正小标宋简体" w:eastAsia="方正小标宋简体" w:cs="Times New Roman"/>
          <w:spacing w:val="40"/>
          <w:sz w:val="44"/>
          <w:szCs w:val="44"/>
        </w:rPr>
        <w:t>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1C6A99C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号）及省上相关规定，本会对四川升庆律师事务所提交的《四川升庆律师事务所律师服务收费标准》已审查完毕，相关内容符合相关规定，本会同意备案人的备案申请，该收费标准自备案之日起至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446B1B6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40328CBB">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四川升庆律师事务所律师服务收费标准</w:t>
      </w:r>
    </w:p>
    <w:p w14:paraId="4FE7D45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149B882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5000A8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4F2FEF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0369C3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7F9367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755BFD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45735A7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14E3BFE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2B008A0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1745130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7D3161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5DE9B7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22E2A8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775FB6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4E7F1E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288D35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68C314E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229C13C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3AF7AD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1FAEE9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6DB45DF1">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4FD870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7A804C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750210C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672D6C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3F8A0A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708041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14:paraId="12A3A3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0E7D1C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7BBEF4A7">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的优惠。同时代理本诉、本请求和反诉、反请求案件的，反诉、反请求按标的额以民事诉讼案件一审阶段的收费标准酌减收费，可酌减</w:t>
      </w:r>
      <w:r>
        <w:rPr>
          <w:rFonts w:ascii="Times New Roman" w:hAnsi="Times New Roman" w:eastAsia="仿宋" w:cs="Times New Roman"/>
          <w:sz w:val="32"/>
          <w:szCs w:val="32"/>
        </w:rPr>
        <w:t>30%-50%</w:t>
      </w:r>
      <w:r>
        <w:rPr>
          <w:rFonts w:ascii="Times New Roman" w:hAnsi="仿宋" w:eastAsia="仿宋" w:cs="Times New Roman"/>
          <w:sz w:val="32"/>
          <w:szCs w:val="32"/>
        </w:rPr>
        <w:t>的收费。</w:t>
      </w:r>
    </w:p>
    <w:p w14:paraId="56EBE4A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135617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30%-50%</w:t>
      </w:r>
      <w:r>
        <w:rPr>
          <w:rFonts w:ascii="Times New Roman" w:hAnsi="仿宋" w:eastAsia="仿宋" w:cs="Times New Roman"/>
          <w:sz w:val="32"/>
          <w:szCs w:val="32"/>
        </w:rPr>
        <w:t>收费，代理执行案件也可采用风险代理或计时收费，不能采取风险代理的案件除外。</w:t>
      </w:r>
    </w:p>
    <w:p w14:paraId="3AEDC52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1A8DAF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704B3E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00648F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66061F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1B3F56F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251D617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7AD65B2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191EADC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71455A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6B1961C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6F846C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5638D2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646C04A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000A73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767B35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5A64F34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0D8861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5A5B25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3524765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26616A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A46AE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E34222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170350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B2B7B5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5E851F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D2ABD6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BD04A2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F8FE25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6F3823C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416A068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47D5AE25">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5000-10000</w:t>
      </w:r>
      <w:r>
        <w:rPr>
          <w:rFonts w:ascii="Times New Roman" w:hAnsi="仿宋" w:eastAsia="仿宋" w:cs="Times New Roman"/>
          <w:sz w:val="32"/>
          <w:szCs w:val="32"/>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34598A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35A0153C">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12B536E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5200E4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50%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3020F816">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4</w:t>
      </w:r>
      <w:r>
        <w:rPr>
          <w:rFonts w:ascii="Times New Roman" w:hAnsi="仿宋" w:eastAsia="仿宋" w:cs="Times New Roman"/>
          <w:sz w:val="32"/>
          <w:szCs w:val="32"/>
        </w:rPr>
        <w:t>倍收费。下列案件为重大、疑难、复杂民事诉讼、仲裁案件：</w:t>
      </w:r>
    </w:p>
    <w:p w14:paraId="2935423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62F6B89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2264CA9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1354BF3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7B38445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7A5D058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4B67777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2CAE592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4F9F15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4</w:t>
      </w:r>
      <w:r>
        <w:rPr>
          <w:rFonts w:ascii="Times New Roman" w:hAnsi="仿宋" w:eastAsia="仿宋" w:cs="Times New Roman"/>
          <w:sz w:val="32"/>
          <w:szCs w:val="32"/>
        </w:rPr>
        <w:t>倍收费，亦可按本收费标准进行风险代理或者计时收费。</w:t>
      </w:r>
    </w:p>
    <w:p w14:paraId="5216B97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w:t>
      </w:r>
    </w:p>
    <w:p w14:paraId="3B00BE4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52D68783">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2</w:t>
      </w:r>
      <w:r>
        <w:rPr>
          <w:rFonts w:ascii="Times New Roman" w:hAnsi="仿宋" w:eastAsia="仿宋" w:cs="Times New Roman"/>
          <w:kern w:val="0"/>
          <w:sz w:val="32"/>
          <w:szCs w:val="32"/>
        </w:rPr>
        <w:t>倍收费。</w:t>
      </w:r>
    </w:p>
    <w:p w14:paraId="5A8C144E">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663E0E1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0201712C">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2FD1F2FD">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483A41B4">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7049BCFB">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540C3561">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657AFF7F">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3AC3C6EB">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309F227F">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02FFCF08">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32"/>
          <w:szCs w:val="32"/>
        </w:rPr>
      </w:pPr>
    </w:p>
    <w:p w14:paraId="64AD03BE">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7464F62D">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6D998682">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FDC13">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1864192">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0D3447"/>
    <w:rsid w:val="00150461"/>
    <w:rsid w:val="00163348"/>
    <w:rsid w:val="001702D6"/>
    <w:rsid w:val="00176683"/>
    <w:rsid w:val="001B2CA9"/>
    <w:rsid w:val="001B2FF3"/>
    <w:rsid w:val="002644D8"/>
    <w:rsid w:val="0026763C"/>
    <w:rsid w:val="002735FF"/>
    <w:rsid w:val="00287CA0"/>
    <w:rsid w:val="002A379D"/>
    <w:rsid w:val="002A714E"/>
    <w:rsid w:val="002A728B"/>
    <w:rsid w:val="002B64F3"/>
    <w:rsid w:val="002B66A4"/>
    <w:rsid w:val="002E0982"/>
    <w:rsid w:val="002F185A"/>
    <w:rsid w:val="002F49BF"/>
    <w:rsid w:val="003006A0"/>
    <w:rsid w:val="003517FF"/>
    <w:rsid w:val="003678F5"/>
    <w:rsid w:val="003B4A86"/>
    <w:rsid w:val="003E24B2"/>
    <w:rsid w:val="00404C3D"/>
    <w:rsid w:val="004128C2"/>
    <w:rsid w:val="004B179A"/>
    <w:rsid w:val="004C268B"/>
    <w:rsid w:val="004D1463"/>
    <w:rsid w:val="004D1774"/>
    <w:rsid w:val="004D70C4"/>
    <w:rsid w:val="004D7664"/>
    <w:rsid w:val="005245C8"/>
    <w:rsid w:val="00557E26"/>
    <w:rsid w:val="00567584"/>
    <w:rsid w:val="00677DBB"/>
    <w:rsid w:val="006819C5"/>
    <w:rsid w:val="006C311F"/>
    <w:rsid w:val="006C6CD7"/>
    <w:rsid w:val="006D6BB3"/>
    <w:rsid w:val="0070164F"/>
    <w:rsid w:val="00715B00"/>
    <w:rsid w:val="00751D1A"/>
    <w:rsid w:val="007752D3"/>
    <w:rsid w:val="007B2EEE"/>
    <w:rsid w:val="007D09B9"/>
    <w:rsid w:val="008542A3"/>
    <w:rsid w:val="00892619"/>
    <w:rsid w:val="008C65AC"/>
    <w:rsid w:val="00912D78"/>
    <w:rsid w:val="00915DD7"/>
    <w:rsid w:val="009928C2"/>
    <w:rsid w:val="009B0D09"/>
    <w:rsid w:val="009B2BF1"/>
    <w:rsid w:val="009C08AA"/>
    <w:rsid w:val="009E5227"/>
    <w:rsid w:val="009F1E81"/>
    <w:rsid w:val="009F795E"/>
    <w:rsid w:val="00A144CF"/>
    <w:rsid w:val="00A40DB8"/>
    <w:rsid w:val="00A5775E"/>
    <w:rsid w:val="00A75AA1"/>
    <w:rsid w:val="00B718AA"/>
    <w:rsid w:val="00BB26EC"/>
    <w:rsid w:val="00BF6BC4"/>
    <w:rsid w:val="00C278B6"/>
    <w:rsid w:val="00C31312"/>
    <w:rsid w:val="00C42A1D"/>
    <w:rsid w:val="00CA304F"/>
    <w:rsid w:val="00CB26F6"/>
    <w:rsid w:val="00CE1660"/>
    <w:rsid w:val="00D0276C"/>
    <w:rsid w:val="00D16A16"/>
    <w:rsid w:val="00D23FC9"/>
    <w:rsid w:val="00D246FF"/>
    <w:rsid w:val="00D40349"/>
    <w:rsid w:val="00D91ED2"/>
    <w:rsid w:val="00D94AA5"/>
    <w:rsid w:val="00DB72B0"/>
    <w:rsid w:val="00DC11B8"/>
    <w:rsid w:val="00DD7403"/>
    <w:rsid w:val="00E02452"/>
    <w:rsid w:val="00E53727"/>
    <w:rsid w:val="00E64635"/>
    <w:rsid w:val="00E7708B"/>
    <w:rsid w:val="00EA5D3A"/>
    <w:rsid w:val="00EF32BA"/>
    <w:rsid w:val="00F618B6"/>
    <w:rsid w:val="00F73074"/>
    <w:rsid w:val="00F83585"/>
    <w:rsid w:val="00F97E09"/>
    <w:rsid w:val="00FB0721"/>
    <w:rsid w:val="00FE2E7F"/>
    <w:rsid w:val="2F0C5D28"/>
    <w:rsid w:val="396664A7"/>
    <w:rsid w:val="53992205"/>
    <w:rsid w:val="5CBF615D"/>
    <w:rsid w:val="5E7CB07C"/>
    <w:rsid w:val="6DEFEAF1"/>
    <w:rsid w:val="7D1A4D4A"/>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4725</Words>
  <Characters>4913</Characters>
  <Lines>36</Lines>
  <Paragraphs>10</Paragraphs>
  <TotalTime>0</TotalTime>
  <ScaleCrop>false</ScaleCrop>
  <LinksUpToDate>false</LinksUpToDate>
  <CharactersWithSpaces>4988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2025-05-23T08:19:23Z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