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43</w:t>
      </w:r>
      <w:r>
        <w:rPr>
          <w:rFonts w:hint="eastAsia" w:ascii="仿宋" w:hAnsi="仿宋" w:eastAsia="仿宋"/>
          <w:color w:val="auto"/>
          <w:sz w:val="32"/>
          <w:szCs w:val="32"/>
        </w:rPr>
        <w:t>号</w:t>
      </w:r>
      <w:bookmarkStart w:id="1" w:name="_GoBack"/>
      <w:bookmarkEnd w:id="1"/>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0910F29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号）及省上相关规定，本会对四川汉震律师事务所提交的《四川汉震律师事务所律师服务收费标准》已审查完毕，相关内容符合相关规定，本会同意备案人的备案申请，该收费标准自备案之日起至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FBF85B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412EEC77">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四川汉震律师事务所律师服务收费标准</w:t>
      </w:r>
    </w:p>
    <w:p w14:paraId="2EA2C0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0073A8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第一条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1173088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0B6D64D">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律师服务费是律师事务所接受委托办理法律事务，向委托人收取服务报酬的行为。</w:t>
      </w:r>
    </w:p>
    <w:p w14:paraId="7E4C85B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71F45A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本所就下列委托事项收取律师服务费：</w:t>
      </w:r>
    </w:p>
    <w:p w14:paraId="600B9E6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 xml:space="preserve">) </w:t>
      </w:r>
      <w:r>
        <w:rPr>
          <w:rFonts w:ascii="Times New Roman" w:hAnsi="仿宋" w:eastAsia="仿宋" w:cs="Times New Roman"/>
          <w:sz w:val="32"/>
          <w:szCs w:val="32"/>
        </w:rPr>
        <w:t>代理各类案件担任代理人、辩护人，起草相关法律文书，开展各类专项法律服务，担任法律顾问，接受法律咨询等法律业务。</w:t>
      </w:r>
    </w:p>
    <w:p w14:paraId="566A9EE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律师从事其它与法律服务及法律培训相关的事务。</w:t>
      </w:r>
    </w:p>
    <w:p w14:paraId="6836585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第五条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CC8B18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以上收费方式，在同一法律服务办理的不同阶段，可以选择同一种方式，也可以选择不同种方式。</w:t>
      </w:r>
    </w:p>
    <w:p w14:paraId="63D8AC7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第六条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sz w:val="32"/>
          <w:szCs w:val="32"/>
        </w:rPr>
        <w:t>3</w:t>
      </w:r>
      <w:r>
        <w:rPr>
          <w:rFonts w:ascii="Times New Roman" w:hAnsi="仿宋" w:eastAsia="仿宋" w:cs="Times New Roman"/>
          <w:sz w:val="32"/>
          <w:szCs w:val="32"/>
        </w:rPr>
        <w:t>个工作日内将律师服务费全额转入律师事务所账户。除律师服务费、代委托人支付的费用、异地办案差旅费外，不得以任何名义向委托人收取其他费用。</w:t>
      </w:r>
    </w:p>
    <w:p w14:paraId="3E99296D">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第七条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律师服务费由律师事务所依约定收取并据实开具律师服务费发票，代委托人支付的费用及非包干异地办案差旅费应当提供有效凭证。</w:t>
      </w:r>
    </w:p>
    <w:p w14:paraId="221F8C1F">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收费标准</w:t>
      </w:r>
    </w:p>
    <w:p w14:paraId="114D97B1">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第一节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不涉及财产关系的收费</w:t>
      </w:r>
    </w:p>
    <w:p w14:paraId="31E5850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第八条</w:t>
      </w:r>
      <w:r>
        <w:rPr>
          <w:rFonts w:ascii="Times New Roman" w:hAnsi="Times New Roman" w:eastAsia="仿宋" w:cs="Times New Roman"/>
          <w:b/>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57640042">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第九条</w:t>
      </w:r>
      <w:r>
        <w:rPr>
          <w:rFonts w:ascii="Times New Roman" w:hAnsi="Times New Roman" w:eastAsia="仿宋" w:cs="Times New Roman"/>
          <w:b/>
          <w:sz w:val="32"/>
          <w:szCs w:val="32"/>
        </w:rPr>
        <w:t xml:space="preserve"> </w:t>
      </w:r>
      <w:r>
        <w:rPr>
          <w:rFonts w:ascii="Times New Roman" w:hAnsi="仿宋" w:eastAsia="仿宋" w:cs="Times New Roman"/>
          <w:sz w:val="32"/>
          <w:szCs w:val="32"/>
        </w:rPr>
        <w:t>选择计件收费的，原则上按下列标准范围与委托人商定：</w:t>
      </w:r>
    </w:p>
    <w:p w14:paraId="4D733D4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  1</w:t>
      </w:r>
      <w:r>
        <w:rPr>
          <w:rFonts w:ascii="Times New Roman" w:hAnsi="仿宋" w:eastAsia="仿宋" w:cs="Times New Roman"/>
          <w:sz w:val="32"/>
          <w:szCs w:val="32"/>
        </w:rPr>
        <w:t>、代书按件收费，每件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BA4302D">
      <w:pPr>
        <w:keepNext w:val="0"/>
        <w:keepLines w:val="0"/>
        <w:pageBreakBefore w:val="0"/>
        <w:kinsoku/>
        <w:wordWrap/>
        <w:overflowPunct/>
        <w:topLinePunct w:val="0"/>
        <w:autoSpaceDE/>
        <w:autoSpaceDN/>
        <w:bidi w:val="0"/>
        <w:adjustRightInd w:val="0"/>
        <w:snapToGrid w:val="0"/>
        <w:spacing w:line="540" w:lineRule="exact"/>
        <w:ind w:right="0" w:firstLine="1600" w:firstLineChars="5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、起草、审查修改合同或者其他法律文书、律师函、律师见证、代为声明、参加谈判、会议、主持调解等，按件收费，每件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3266DD3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 xml:space="preserve">) </w:t>
      </w:r>
      <w:r>
        <w:rPr>
          <w:rFonts w:ascii="Times New Roman" w:hAnsi="仿宋" w:eastAsia="仿宋" w:cs="Times New Roman"/>
          <w:sz w:val="32"/>
          <w:szCs w:val="32"/>
        </w:rPr>
        <w:t>担任国家机关、企事业单位、其他组织以及自然人的常年法律顾问，可按年度计件收费，每年度</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26CAAAA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 xml:space="preserve">) </w:t>
      </w:r>
      <w:r>
        <w:rPr>
          <w:rFonts w:ascii="Times New Roman" w:hAnsi="仿宋" w:eastAsia="仿宋" w:cs="Times New Roman"/>
          <w:sz w:val="32"/>
          <w:szCs w:val="32"/>
        </w:rPr>
        <w:t>专项事务法律顾问、法律风险评估或论证、合法性审查、法律意见书、尽职调查、法律培训等，不涉及财产的，可按件收费，每件</w:t>
      </w:r>
      <w:r>
        <w:rPr>
          <w:rFonts w:ascii="Times New Roman" w:hAnsi="Times New Roman" w:eastAsia="仿宋" w:cs="Times New Roman"/>
          <w:sz w:val="32"/>
          <w:szCs w:val="32"/>
        </w:rPr>
        <w:t>6000</w:t>
      </w:r>
      <w:r>
        <w:rPr>
          <w:rFonts w:ascii="Times New Roman" w:hAnsi="仿宋" w:eastAsia="仿宋" w:cs="Times New Roman"/>
          <w:sz w:val="32"/>
          <w:szCs w:val="32"/>
        </w:rPr>
        <w:t>元一</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79A88CF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 xml:space="preserve">) </w:t>
      </w:r>
      <w:r>
        <w:rPr>
          <w:rFonts w:ascii="Times New Roman" w:hAnsi="仿宋" w:eastAsia="仿宋" w:cs="Times New Roman"/>
          <w:sz w:val="32"/>
          <w:szCs w:val="32"/>
        </w:rPr>
        <w:t>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E13E2D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第十条</w:t>
      </w:r>
      <w:r>
        <w:rPr>
          <w:rFonts w:ascii="Times New Roman" w:hAnsi="Times New Roman" w:eastAsia="仿宋" w:cs="Times New Roman"/>
          <w:b/>
          <w:sz w:val="32"/>
          <w:szCs w:val="32"/>
        </w:rPr>
        <w:t xml:space="preserve"> </w:t>
      </w:r>
      <w:r>
        <w:rPr>
          <w:rFonts w:ascii="Times New Roman" w:hAnsi="仿宋" w:eastAsia="仿宋" w:cs="Times New Roman"/>
          <w:sz w:val="32"/>
          <w:szCs w:val="32"/>
        </w:rPr>
        <w:t>（一）</w:t>
      </w:r>
      <w:r>
        <w:rPr>
          <w:rFonts w:ascii="Times New Roman" w:hAnsi="Times New Roman" w:eastAsia="仿宋" w:cs="Times New Roman"/>
          <w:sz w:val="32"/>
          <w:szCs w:val="32"/>
        </w:rPr>
        <w:t xml:space="preserve"> </w:t>
      </w:r>
      <w:r>
        <w:rPr>
          <w:rFonts w:ascii="Times New Roman" w:hAnsi="仿宋" w:eastAsia="仿宋" w:cs="Times New Roman"/>
          <w:sz w:val="32"/>
          <w:szCs w:val="32"/>
        </w:rPr>
        <w:t>法律咨询服务计时收费的，可按每位律师每小时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1000</w:t>
      </w:r>
      <w:r>
        <w:rPr>
          <w:rFonts w:ascii="Times New Roman" w:hAnsi="仿宋" w:eastAsia="仿宋" w:cs="Times New Roman"/>
          <w:sz w:val="32"/>
          <w:szCs w:val="32"/>
        </w:rPr>
        <w:t>元收取律师服务费。</w:t>
      </w:r>
    </w:p>
    <w:p w14:paraId="6AEEDBC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计费工作时间是律师办理委托事项的有效工作时间，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1A993D7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第十一条</w:t>
      </w:r>
      <w:r>
        <w:rPr>
          <w:rFonts w:ascii="Times New Roman" w:hAnsi="Times New Roman" w:eastAsia="仿宋" w:cs="Times New Roman"/>
          <w:b/>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4C490B71">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第二节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涉及财产关系的固定代理收费</w:t>
      </w:r>
    </w:p>
    <w:p w14:paraId="3D26E20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p>
    <w:p w14:paraId="6327495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4%-10%</w:t>
      </w:r>
      <w:r>
        <w:rPr>
          <w:rFonts w:ascii="Times New Roman" w:hAnsi="仿宋" w:eastAsia="仿宋" w:cs="Times New Roman"/>
          <w:sz w:val="32"/>
          <w:szCs w:val="32"/>
        </w:rPr>
        <w:t>，最低不少于</w:t>
      </w:r>
      <w:r>
        <w:rPr>
          <w:rFonts w:ascii="Times New Roman" w:hAnsi="Times New Roman" w:eastAsia="仿宋" w:cs="Times New Roman"/>
          <w:sz w:val="32"/>
          <w:szCs w:val="32"/>
        </w:rPr>
        <w:t>3000</w:t>
      </w:r>
      <w:r>
        <w:rPr>
          <w:rFonts w:ascii="Times New Roman" w:hAnsi="仿宋" w:eastAsia="仿宋" w:cs="Times New Roman"/>
          <w:sz w:val="32"/>
          <w:szCs w:val="32"/>
        </w:rPr>
        <w:t>元；</w:t>
      </w:r>
    </w:p>
    <w:p w14:paraId="63088B9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3%-7%</w:t>
      </w:r>
      <w:r>
        <w:rPr>
          <w:rFonts w:ascii="Times New Roman" w:hAnsi="仿宋" w:eastAsia="仿宋" w:cs="Times New Roman"/>
          <w:sz w:val="32"/>
          <w:szCs w:val="32"/>
        </w:rPr>
        <w:t>；</w:t>
      </w:r>
    </w:p>
    <w:p w14:paraId="4A8C385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r>
        <w:rPr>
          <w:rFonts w:ascii="Times New Roman" w:hAnsi="仿宋" w:eastAsia="仿宋" w:cs="Times New Roman"/>
          <w:sz w:val="32"/>
          <w:szCs w:val="32"/>
        </w:rPr>
        <w:t>；</w:t>
      </w:r>
    </w:p>
    <w:p w14:paraId="2BAADC1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4A1606A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上述收费标准是诉讼案件单独一个程序的收费标准。</w:t>
      </w:r>
    </w:p>
    <w:p w14:paraId="3ECB2D2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第十三条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对于案件数量较大、人员较多、案件性质基本相似的可采取计件收费，每件按</w:t>
      </w:r>
      <w:r>
        <w:rPr>
          <w:rFonts w:ascii="Times New Roman" w:hAnsi="Times New Roman" w:eastAsia="仿宋" w:cs="Times New Roman"/>
          <w:sz w:val="32"/>
          <w:szCs w:val="32"/>
        </w:rPr>
        <w:t>500-5000</w:t>
      </w:r>
      <w:r>
        <w:rPr>
          <w:rFonts w:ascii="Times New Roman" w:hAnsi="仿宋" w:eastAsia="仿宋" w:cs="Times New Roman"/>
          <w:sz w:val="32"/>
          <w:szCs w:val="32"/>
        </w:rPr>
        <w:t>元收费。</w:t>
      </w:r>
    </w:p>
    <w:p w14:paraId="17C8D18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第十四条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54D71217">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第三节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涉及财产关系的风险代理收费</w:t>
      </w:r>
    </w:p>
    <w:p w14:paraId="7ABB50C9">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第十五条</w:t>
      </w:r>
      <w:r>
        <w:rPr>
          <w:rFonts w:ascii="Times New Roman" w:hAnsi="Times New Roman" w:eastAsia="仿宋" w:cs="Times New Roman"/>
          <w:b/>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27A2D4F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 xml:space="preserve">) </w:t>
      </w:r>
      <w:r>
        <w:rPr>
          <w:rFonts w:ascii="Times New Roman" w:hAnsi="仿宋" w:eastAsia="仿宋" w:cs="Times New Roman"/>
          <w:sz w:val="32"/>
          <w:szCs w:val="32"/>
        </w:rPr>
        <w:t>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6%-18%</w:t>
      </w:r>
      <w:r>
        <w:rPr>
          <w:rFonts w:ascii="Times New Roman" w:hAnsi="仿宋" w:eastAsia="仿宋" w:cs="Times New Roman"/>
          <w:sz w:val="32"/>
          <w:szCs w:val="32"/>
        </w:rPr>
        <w:t>计算；</w:t>
      </w:r>
    </w:p>
    <w:p w14:paraId="7991201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 xml:space="preserve">) </w:t>
      </w:r>
      <w:r>
        <w:rPr>
          <w:rFonts w:ascii="Times New Roman" w:hAnsi="仿宋" w:eastAsia="仿宋" w:cs="Times New Roman"/>
          <w:sz w:val="32"/>
          <w:szCs w:val="32"/>
        </w:rPr>
        <w:t>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6%-15%</w:t>
      </w:r>
      <w:r>
        <w:rPr>
          <w:rFonts w:ascii="Times New Roman" w:hAnsi="仿宋" w:eastAsia="仿宋" w:cs="Times New Roman"/>
          <w:sz w:val="32"/>
          <w:szCs w:val="32"/>
        </w:rPr>
        <w:t>计算；</w:t>
      </w:r>
    </w:p>
    <w:p w14:paraId="2A6E95C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 xml:space="preserve">) </w:t>
      </w:r>
      <w:r>
        <w:rPr>
          <w:rFonts w:ascii="Times New Roman" w:hAnsi="仿宋" w:eastAsia="仿宋" w:cs="Times New Roman"/>
          <w:sz w:val="32"/>
          <w:szCs w:val="32"/>
        </w:rPr>
        <w:t>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08A537A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 xml:space="preserve">) </w:t>
      </w:r>
      <w:r>
        <w:rPr>
          <w:rFonts w:ascii="Times New Roman" w:hAnsi="仿宋" w:eastAsia="仿宋" w:cs="Times New Roman"/>
          <w:sz w:val="32"/>
          <w:szCs w:val="32"/>
        </w:rPr>
        <w:t>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1F3BC07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 xml:space="preserve">) </w:t>
      </w:r>
      <w:r>
        <w:rPr>
          <w:rFonts w:ascii="Times New Roman" w:hAnsi="仿宋" w:eastAsia="仿宋" w:cs="Times New Roman"/>
          <w:sz w:val="32"/>
          <w:szCs w:val="32"/>
        </w:rPr>
        <w:t>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1E13D04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76610A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76C2B7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p>
    <w:p w14:paraId="15C248C5">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第四节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不能采取风险代理收费</w:t>
      </w:r>
    </w:p>
    <w:p w14:paraId="44E8570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AFE68F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 xml:space="preserve">) </w:t>
      </w:r>
      <w:r>
        <w:rPr>
          <w:rFonts w:ascii="Times New Roman" w:hAnsi="仿宋" w:eastAsia="仿宋" w:cs="Times New Roman"/>
          <w:sz w:val="32"/>
          <w:szCs w:val="32"/>
        </w:rPr>
        <w:t>刑事诉讼案件；</w:t>
      </w:r>
    </w:p>
    <w:p w14:paraId="21CD565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 xml:space="preserve">) </w:t>
      </w:r>
      <w:r>
        <w:rPr>
          <w:rFonts w:ascii="Times New Roman" w:hAnsi="仿宋" w:eastAsia="仿宋" w:cs="Times New Roman"/>
          <w:sz w:val="32"/>
          <w:szCs w:val="32"/>
        </w:rPr>
        <w:t>行政诉讼案件；</w:t>
      </w:r>
    </w:p>
    <w:p w14:paraId="2E77C7B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 xml:space="preserve">) </w:t>
      </w:r>
      <w:r>
        <w:rPr>
          <w:rFonts w:ascii="Times New Roman" w:hAnsi="仿宋" w:eastAsia="仿宋" w:cs="Times New Roman"/>
          <w:sz w:val="32"/>
          <w:szCs w:val="32"/>
        </w:rPr>
        <w:t>国家赔偿案件；</w:t>
      </w:r>
    </w:p>
    <w:p w14:paraId="24B8B7B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 xml:space="preserve">) </w:t>
      </w:r>
      <w:r>
        <w:rPr>
          <w:rFonts w:ascii="Times New Roman" w:hAnsi="仿宋" w:eastAsia="仿宋" w:cs="Times New Roman"/>
          <w:sz w:val="32"/>
          <w:szCs w:val="32"/>
        </w:rPr>
        <w:t>群体性诉讼案件；</w:t>
      </w:r>
    </w:p>
    <w:p w14:paraId="3E71AA8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 xml:space="preserve">) </w:t>
      </w:r>
      <w:r>
        <w:rPr>
          <w:rFonts w:ascii="Times New Roman" w:hAnsi="仿宋" w:eastAsia="仿宋" w:cs="Times New Roman"/>
          <w:sz w:val="32"/>
          <w:szCs w:val="32"/>
        </w:rPr>
        <w:t>婚姻继承案件；</w:t>
      </w:r>
    </w:p>
    <w:p w14:paraId="04AAC5C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六</w:t>
      </w:r>
      <w:r>
        <w:rPr>
          <w:rFonts w:ascii="Times New Roman" w:hAnsi="Times New Roman" w:eastAsia="仿宋" w:cs="Times New Roman"/>
          <w:sz w:val="32"/>
          <w:szCs w:val="32"/>
        </w:rPr>
        <w:t xml:space="preserve">) </w:t>
      </w:r>
      <w:r>
        <w:rPr>
          <w:rFonts w:ascii="Times New Roman" w:hAnsi="仿宋" w:eastAsia="仿宋" w:cs="Times New Roman"/>
          <w:sz w:val="32"/>
          <w:szCs w:val="32"/>
        </w:rPr>
        <w:t>请求给予社会保险待遇、最低生活保障待遇、赡养费、抚养费、扶养费、抚恤金、救济金、工伤赔偿、劳动报酬的案件。</w:t>
      </w:r>
    </w:p>
    <w:p w14:paraId="31D1ACC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3BFCF70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407A9FB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2E2DCC4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审判阶段：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486E82D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申诉、再审阶段：</w:t>
      </w:r>
      <w:r>
        <w:rPr>
          <w:rFonts w:ascii="Times New Roman" w:hAnsi="Times New Roman" w:eastAsia="仿宋" w:cs="Times New Roman"/>
          <w:sz w:val="32"/>
          <w:szCs w:val="32"/>
        </w:rPr>
        <w:t>10000</w:t>
      </w:r>
      <w:r>
        <w:rPr>
          <w:rFonts w:ascii="Times New Roman" w:hAnsi="仿宋" w:eastAsia="仿宋" w:cs="Times New Roman"/>
          <w:sz w:val="32"/>
          <w:szCs w:val="32"/>
        </w:rPr>
        <w:t>元</w:t>
      </w:r>
      <w:r>
        <w:rPr>
          <w:rFonts w:ascii="Times New Roman" w:hAnsi="Times New Roman" w:eastAsia="仿宋" w:cs="Times New Roman"/>
          <w:sz w:val="32"/>
          <w:szCs w:val="32"/>
        </w:rPr>
        <w:t>-100</w:t>
      </w:r>
      <w:r>
        <w:rPr>
          <w:rFonts w:ascii="Times New Roman" w:hAnsi="仿宋" w:eastAsia="仿宋" w:cs="Times New Roman"/>
          <w:sz w:val="32"/>
          <w:szCs w:val="32"/>
        </w:rPr>
        <w:t>万元。</w:t>
      </w:r>
    </w:p>
    <w:p w14:paraId="452B85A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对于担任当事人自诉案件的代理人案件进行一次性收费，</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BF063C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办理异地、重大、疑难、复杂、社会影响较大的刑事诉讼案件，可以在上述收费标准</w:t>
      </w:r>
      <w:r>
        <w:rPr>
          <w:rFonts w:ascii="Times New Roman" w:hAnsi="Times New Roman" w:eastAsia="仿宋" w:cs="Times New Roman"/>
          <w:sz w:val="32"/>
          <w:szCs w:val="32"/>
        </w:rPr>
        <w:t>6</w:t>
      </w:r>
      <w:r>
        <w:rPr>
          <w:rFonts w:ascii="Times New Roman" w:hAnsi="仿宋" w:eastAsia="仿宋" w:cs="Times New Roman"/>
          <w:sz w:val="32"/>
          <w:szCs w:val="32"/>
        </w:rPr>
        <w:t>倍之内（含</w:t>
      </w:r>
      <w:r>
        <w:rPr>
          <w:rFonts w:ascii="Times New Roman" w:hAnsi="Times New Roman" w:eastAsia="仿宋" w:cs="Times New Roman"/>
          <w:sz w:val="32"/>
          <w:szCs w:val="32"/>
        </w:rPr>
        <w:t>6</w:t>
      </w:r>
      <w:r>
        <w:rPr>
          <w:rFonts w:ascii="Times New Roman" w:hAnsi="仿宋" w:eastAsia="仿宋" w:cs="Times New Roman"/>
          <w:sz w:val="32"/>
          <w:szCs w:val="32"/>
        </w:rPr>
        <w:t>倍）协商确定收费标准。</w:t>
      </w:r>
    </w:p>
    <w:p w14:paraId="3FA112F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第十九条</w:t>
      </w:r>
      <w:r>
        <w:rPr>
          <w:rFonts w:ascii="Times New Roman" w:hAnsi="Times New Roman" w:eastAsia="仿宋" w:cs="Times New Roman"/>
          <w:b/>
          <w:sz w:val="32"/>
          <w:szCs w:val="32"/>
        </w:rPr>
        <w:t xml:space="preserve"> </w:t>
      </w:r>
      <w:r>
        <w:rPr>
          <w:rFonts w:ascii="Times New Roman" w:hAnsi="仿宋" w:eastAsia="仿宋" w:cs="Times New Roman"/>
          <w:sz w:val="32"/>
          <w:szCs w:val="32"/>
        </w:rPr>
        <w:t>不能采取或变相采取风险代理收费的（二）至</w:t>
      </w:r>
      <w:r>
        <w:rPr>
          <w:rFonts w:ascii="Times New Roman" w:hAnsi="Times New Roman" w:eastAsia="仿宋" w:cs="Times New Roman"/>
          <w:sz w:val="32"/>
          <w:szCs w:val="32"/>
        </w:rPr>
        <w:t>(</w:t>
      </w:r>
      <w:r>
        <w:rPr>
          <w:rFonts w:ascii="Times New Roman" w:hAnsi="仿宋" w:eastAsia="仿宋" w:cs="Times New Roman"/>
          <w:sz w:val="32"/>
          <w:szCs w:val="32"/>
        </w:rPr>
        <w:t>六</w:t>
      </w:r>
      <w:r>
        <w:rPr>
          <w:rFonts w:ascii="Times New Roman" w:hAnsi="Times New Roman" w:eastAsia="仿宋" w:cs="Times New Roman"/>
          <w:sz w:val="32"/>
          <w:szCs w:val="32"/>
        </w:rPr>
        <w:t>)</w:t>
      </w:r>
      <w:r>
        <w:rPr>
          <w:rFonts w:ascii="Times New Roman" w:hAnsi="仿宋" w:eastAsia="仿宋" w:cs="Times New Roman"/>
          <w:sz w:val="32"/>
          <w:szCs w:val="32"/>
        </w:rPr>
        <w:t>项参照本章第一节、第二节的内容收费。</w:t>
      </w:r>
    </w:p>
    <w:p w14:paraId="4C37FAAA">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其他说明</w:t>
      </w:r>
    </w:p>
    <w:p w14:paraId="06D2A35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100%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10</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3FB8F98">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第二十一条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sz w:val="32"/>
          <w:szCs w:val="32"/>
        </w:rPr>
        <w:t>50%</w:t>
      </w:r>
      <w:r>
        <w:rPr>
          <w:rFonts w:ascii="Times New Roman" w:hAnsi="仿宋" w:eastAsia="仿宋" w:cs="Times New Roman"/>
          <w:sz w:val="32"/>
          <w:szCs w:val="32"/>
        </w:rPr>
        <w:t>至</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606F82B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第二十二条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4161742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第二十三条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民事诉讼、行政诉讼案件分为一审、二审、执行、申请再审、申请抗诉阶段等诉讼程序。</w:t>
      </w:r>
    </w:p>
    <w:p w14:paraId="26D926F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申请国家赔偿案件分为申请赔偿阶段、申请复议阶段等诉讼程序。</w:t>
      </w:r>
    </w:p>
    <w:p w14:paraId="7E2FB5E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刑事案件分为侦查阶段、审查起诉阶段、一审、二审、申请再审阶段等诉讼程序。</w:t>
      </w:r>
    </w:p>
    <w:p w14:paraId="72627DD9">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56E1791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CAEC992">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第二十六条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律师接受指派的法律援助案件，不得向受援人收取任何费用。</w:t>
      </w:r>
    </w:p>
    <w:p w14:paraId="19D173E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69820B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全体律师除前述第二十二条、二十三条涉及案件外，其他案件收费应严格按本收费标准执行，不得以争揽业务为目的，通过减收或免收律师服务费吸引委托人，进行低价的不正当竞争。</w:t>
      </w:r>
    </w:p>
    <w:p w14:paraId="03A814C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第二十八条</w:t>
      </w:r>
      <w:r>
        <w:rPr>
          <w:rFonts w:ascii="Times New Roman" w:hAnsi="Times New Roman" w:eastAsia="仿宋" w:cs="Times New Roman"/>
          <w:b/>
          <w:sz w:val="32"/>
          <w:szCs w:val="32"/>
        </w:rPr>
        <w:t xml:space="preserve"> </w:t>
      </w:r>
      <w:r>
        <w:rPr>
          <w:rFonts w:ascii="Times New Roman" w:hAnsi="仿宋" w:eastAsia="仿宋" w:cs="Times New Roman"/>
          <w:sz w:val="32"/>
          <w:szCs w:val="32"/>
        </w:rPr>
        <w:t>同本律师事务所签订法律顾问合同的当事人，可以按上述收费标准优惠</w:t>
      </w:r>
      <w:r>
        <w:rPr>
          <w:rFonts w:ascii="Times New Roman" w:hAnsi="Times New Roman" w:eastAsia="仿宋" w:cs="Times New Roman"/>
          <w:sz w:val="32"/>
          <w:szCs w:val="32"/>
        </w:rPr>
        <w:t>50%</w:t>
      </w:r>
      <w:r>
        <w:rPr>
          <w:rFonts w:ascii="Times New Roman" w:hAnsi="仿宋" w:eastAsia="仿宋" w:cs="Times New Roman"/>
          <w:sz w:val="32"/>
          <w:szCs w:val="32"/>
        </w:rPr>
        <w:t>收费。</w:t>
      </w:r>
    </w:p>
    <w:p w14:paraId="0C247DCC">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附则</w:t>
      </w:r>
    </w:p>
    <w:p w14:paraId="596DE3E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本收费标准应当按照相关规定予以备案，并在所内以公开方式公布已备案的律师服务收费标准，律师事务所全体律师严格遵照执行，并接受社会监督。</w:t>
      </w:r>
    </w:p>
    <w:p w14:paraId="74BB2BA3">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sz w:val="32"/>
          <w:szCs w:val="32"/>
        </w:rPr>
        <w:t>第三十条</w:t>
      </w:r>
      <w:r>
        <w:rPr>
          <w:rFonts w:ascii="Times New Roman" w:hAnsi="Times New Roman" w:eastAsia="仿宋" w:cs="Times New Roman"/>
          <w:b/>
          <w:sz w:val="32"/>
          <w:szCs w:val="32"/>
        </w:rPr>
        <w:t xml:space="preserve"> </w:t>
      </w:r>
      <w:r>
        <w:rPr>
          <w:rFonts w:ascii="Times New Roman" w:hAnsi="仿宋" w:eastAsia="仿宋" w:cs="Times New Roman"/>
          <w:sz w:val="32"/>
          <w:szCs w:val="32"/>
        </w:rPr>
        <w:t>本收费标准按照规定在德阳市律师协会同意备案后生效。</w:t>
      </w:r>
    </w:p>
    <w:p w14:paraId="035395CC">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223AF23A">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1306E753">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8582E1D">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BDF1">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24CAA8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C5A4E"/>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12F5F"/>
    <w:rsid w:val="005245C8"/>
    <w:rsid w:val="00557E26"/>
    <w:rsid w:val="00567584"/>
    <w:rsid w:val="00677DBB"/>
    <w:rsid w:val="006C311F"/>
    <w:rsid w:val="006C6CD7"/>
    <w:rsid w:val="006D6BB3"/>
    <w:rsid w:val="00751D1A"/>
    <w:rsid w:val="007752D3"/>
    <w:rsid w:val="00793C2E"/>
    <w:rsid w:val="007B2EEE"/>
    <w:rsid w:val="007D09B9"/>
    <w:rsid w:val="007E7BA3"/>
    <w:rsid w:val="008542A3"/>
    <w:rsid w:val="008811CD"/>
    <w:rsid w:val="0088354A"/>
    <w:rsid w:val="00892619"/>
    <w:rsid w:val="008C65AC"/>
    <w:rsid w:val="00912D78"/>
    <w:rsid w:val="00915DD7"/>
    <w:rsid w:val="00935FF0"/>
    <w:rsid w:val="009928C2"/>
    <w:rsid w:val="009B0D09"/>
    <w:rsid w:val="009B2BF1"/>
    <w:rsid w:val="009C08AA"/>
    <w:rsid w:val="00A0390C"/>
    <w:rsid w:val="00A40DB8"/>
    <w:rsid w:val="00A5775E"/>
    <w:rsid w:val="00A75AA1"/>
    <w:rsid w:val="00B718AA"/>
    <w:rsid w:val="00BB26EC"/>
    <w:rsid w:val="00BF6BC4"/>
    <w:rsid w:val="00C31312"/>
    <w:rsid w:val="00C42A1D"/>
    <w:rsid w:val="00C50F3B"/>
    <w:rsid w:val="00C90F40"/>
    <w:rsid w:val="00CB26F6"/>
    <w:rsid w:val="00CE1660"/>
    <w:rsid w:val="00CF63AD"/>
    <w:rsid w:val="00D0276C"/>
    <w:rsid w:val="00D23FC9"/>
    <w:rsid w:val="00D246FF"/>
    <w:rsid w:val="00D40349"/>
    <w:rsid w:val="00D94AA5"/>
    <w:rsid w:val="00DB797F"/>
    <w:rsid w:val="00DC11B8"/>
    <w:rsid w:val="00E25D56"/>
    <w:rsid w:val="00E53727"/>
    <w:rsid w:val="00E64635"/>
    <w:rsid w:val="00E7708B"/>
    <w:rsid w:val="00E80B40"/>
    <w:rsid w:val="00E914C5"/>
    <w:rsid w:val="00EA5D3A"/>
    <w:rsid w:val="00EF32BA"/>
    <w:rsid w:val="00F14E7C"/>
    <w:rsid w:val="00F618B6"/>
    <w:rsid w:val="00F73074"/>
    <w:rsid w:val="00FB0721"/>
    <w:rsid w:val="00FE2E7F"/>
    <w:rsid w:val="396664A7"/>
    <w:rsid w:val="4FFC5E3A"/>
    <w:rsid w:val="53992205"/>
    <w:rsid w:val="55C452AB"/>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3719</Words>
  <Characters>3907</Characters>
  <Lines>28</Lines>
  <Paragraphs>8</Paragraphs>
  <TotalTime>1</TotalTime>
  <ScaleCrop>false</ScaleCrop>
  <LinksUpToDate>false</LinksUpToDate>
  <CharactersWithSpaces>3992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2025-05-23T07:20:57Z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