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39</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54071E0A">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号）及省上相关规定，本会对四川范泽律师事务所提交的《四川范泽律师事务所律师服务收费标准》已审查完毕，相关内容符合相关规定，本会同意备案人的备案申请，该收费标准自备案之日起至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28AE83D">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713BAF74">
      <w:pPr>
        <w:keepNext w:val="0"/>
        <w:keepLines w:val="0"/>
        <w:pageBreakBefore w:val="0"/>
        <w:kinsoku/>
        <w:wordWrap/>
        <w:overflowPunct/>
        <w:topLinePunct w:val="0"/>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四川范泽律师事务所律师服务收费标准</w:t>
      </w:r>
    </w:p>
    <w:p w14:paraId="4ECF82A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制定依据、收费范围、原则和方式</w:t>
      </w:r>
    </w:p>
    <w:p w14:paraId="7B40F526">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Cs/>
          <w:sz w:val="32"/>
          <w:szCs w:val="32"/>
        </w:rPr>
      </w:pPr>
      <w:r>
        <w:rPr>
          <w:rFonts w:ascii="Times New Roman" w:hAnsi="仿宋" w:eastAsia="仿宋" w:cs="Times New Roman"/>
          <w:b/>
          <w:bCs/>
          <w:position w:val="-4"/>
          <w:sz w:val="32"/>
          <w:szCs w:val="32"/>
        </w:rPr>
        <w:t>第一条</w:t>
      </w:r>
      <w:r>
        <w:rPr>
          <w:rFonts w:ascii="Times New Roman" w:hAnsi="Times New Roman" w:eastAsia="仿宋" w:cs="Times New Roman"/>
          <w:bCs/>
          <w:position w:val="-4"/>
          <w:sz w:val="32"/>
          <w:szCs w:val="32"/>
        </w:rPr>
        <w:t xml:space="preserve"> </w:t>
      </w:r>
      <w:r>
        <w:rPr>
          <w:rFonts w:ascii="Times New Roman" w:hAnsi="仿宋" w:eastAsia="仿宋" w:cs="Times New Roman"/>
          <w:bCs/>
          <w:position w:val="-4"/>
          <w:sz w:val="32"/>
          <w:szCs w:val="32"/>
        </w:rPr>
        <w:t>为保</w:t>
      </w:r>
      <w:r>
        <w:rPr>
          <w:rFonts w:ascii="Times New Roman" w:hAnsi="仿宋" w:eastAsia="仿宋" w:cs="Times New Roman"/>
          <w:position w:val="-4"/>
          <w:sz w:val="32"/>
          <w:szCs w:val="32"/>
        </w:rPr>
        <w:t>障和维护委托人和本所及承办律师的合法权益，促进本所规范、健康、持续发展，根据司法部、国家发展和改革委员会、国家市场监督管理总局《关于进一步规范律师服务收费的意见》的通知（司发通〔</w:t>
      </w:r>
      <w:r>
        <w:rPr>
          <w:rFonts w:ascii="Times New Roman" w:hAnsi="Times New Roman" w:eastAsia="仿宋" w:cs="Times New Roman"/>
          <w:position w:val="-4"/>
          <w:sz w:val="32"/>
          <w:szCs w:val="32"/>
        </w:rPr>
        <w:t>2021</w:t>
      </w:r>
      <w:r>
        <w:rPr>
          <w:rFonts w:ascii="Times New Roman" w:hAnsi="仿宋" w:eastAsia="仿宋" w:cs="Times New Roman"/>
          <w:position w:val="-4"/>
          <w:sz w:val="32"/>
          <w:szCs w:val="32"/>
        </w:rPr>
        <w:t>〕</w:t>
      </w:r>
      <w:r>
        <w:rPr>
          <w:rFonts w:ascii="Times New Roman" w:hAnsi="Times New Roman" w:eastAsia="仿宋" w:cs="Times New Roman"/>
          <w:position w:val="-4"/>
          <w:sz w:val="32"/>
          <w:szCs w:val="32"/>
        </w:rPr>
        <w:t>87</w:t>
      </w:r>
      <w:r>
        <w:rPr>
          <w:rFonts w:ascii="Times New Roman" w:hAnsi="仿宋" w:eastAsia="仿宋" w:cs="Times New Roman"/>
          <w:position w:val="-4"/>
          <w:sz w:val="32"/>
          <w:szCs w:val="32"/>
        </w:rPr>
        <w:t>号）、四川省司法厅、四川省发展和改革委员会、四川省市场监督管理局转发《司法部</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国家发展和改革委员会</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国家市场监督管理总局印发</w:t>
      </w:r>
      <w:r>
        <w:rPr>
          <w:rFonts w:ascii="Times New Roman" w:hAnsi="Times New Roman" w:eastAsia="仿宋" w:cs="Times New Roman"/>
          <w:position w:val="-4"/>
          <w:sz w:val="32"/>
          <w:szCs w:val="32"/>
        </w:rPr>
        <w:t>&lt;</w:t>
      </w:r>
      <w:r>
        <w:rPr>
          <w:rFonts w:ascii="Times New Roman" w:hAnsi="仿宋" w:eastAsia="仿宋" w:cs="Times New Roman"/>
          <w:position w:val="-4"/>
          <w:sz w:val="32"/>
          <w:szCs w:val="32"/>
        </w:rPr>
        <w:t>关于进一步规范律师服务收费的意见</w:t>
      </w:r>
      <w:r>
        <w:rPr>
          <w:rFonts w:ascii="Times New Roman" w:hAnsi="Times New Roman" w:eastAsia="仿宋" w:cs="Times New Roman"/>
          <w:position w:val="-4"/>
          <w:sz w:val="32"/>
          <w:szCs w:val="32"/>
        </w:rPr>
        <w:t>&gt;</w:t>
      </w:r>
      <w:r>
        <w:rPr>
          <w:rFonts w:ascii="Times New Roman" w:hAnsi="仿宋" w:eastAsia="仿宋" w:cs="Times New Roman"/>
          <w:position w:val="-4"/>
          <w:sz w:val="32"/>
          <w:szCs w:val="32"/>
        </w:rPr>
        <w:t>的通知》（川司法发〔</w:t>
      </w:r>
      <w:r>
        <w:rPr>
          <w:rFonts w:ascii="Times New Roman" w:hAnsi="Times New Roman" w:eastAsia="仿宋" w:cs="Times New Roman"/>
          <w:position w:val="-4"/>
          <w:sz w:val="32"/>
          <w:szCs w:val="32"/>
        </w:rPr>
        <w:t>2022</w:t>
      </w:r>
      <w:r>
        <w:rPr>
          <w:rFonts w:ascii="Times New Roman" w:hAnsi="仿宋" w:eastAsia="仿宋" w:cs="Times New Roman"/>
          <w:position w:val="-4"/>
          <w:sz w:val="32"/>
          <w:szCs w:val="32"/>
        </w:rPr>
        <w:t>〕</w:t>
      </w:r>
      <w:r>
        <w:rPr>
          <w:rFonts w:ascii="Times New Roman" w:hAnsi="Times New Roman" w:eastAsia="仿宋" w:cs="Times New Roman"/>
          <w:position w:val="-4"/>
          <w:sz w:val="32"/>
          <w:szCs w:val="32"/>
        </w:rPr>
        <w:t>102</w:t>
      </w:r>
      <w:r>
        <w:rPr>
          <w:rFonts w:ascii="Times New Roman" w:hAnsi="仿宋" w:eastAsia="仿宋" w:cs="Times New Roman"/>
          <w:position w:val="-4"/>
          <w:sz w:val="32"/>
          <w:szCs w:val="32"/>
        </w:rPr>
        <w:t>号），结合本所实际，特制定本收费标准。</w:t>
      </w:r>
    </w:p>
    <w:p w14:paraId="49001832">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kern w:val="0"/>
          <w:position w:val="-4"/>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kern w:val="0"/>
          <w:position w:val="-4"/>
          <w:sz w:val="32"/>
          <w:szCs w:val="32"/>
        </w:rPr>
        <w:t>律师服务费是本所接受委托人的委托，指派律师办</w:t>
      </w:r>
      <w:r>
        <w:rPr>
          <w:rFonts w:ascii="Times New Roman" w:hAnsi="仿宋" w:eastAsia="仿宋" w:cs="Times New Roman"/>
          <w:sz w:val="32"/>
          <w:szCs w:val="32"/>
        </w:rPr>
        <w:t>理法律事务提供法律服务，向委托人收取的服务报酬。</w:t>
      </w:r>
    </w:p>
    <w:p w14:paraId="3EF2896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position w:val="-4"/>
          <w:sz w:val="32"/>
          <w:szCs w:val="32"/>
        </w:rPr>
        <w:t>本所遵循公开公平、平等自愿、诚实信用的原则，按与委托人协商一致的内容向委托人收取律师服务费。</w:t>
      </w:r>
    </w:p>
    <w:p w14:paraId="3292AC88">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委托人与本所根据具体法律事务的难易程度、复杂程度、所</w:t>
      </w:r>
      <w:r>
        <w:rPr>
          <w:rFonts w:ascii="Times New Roman" w:hAnsi="仿宋" w:eastAsia="仿宋" w:cs="Times New Roman"/>
          <w:sz w:val="32"/>
          <w:szCs w:val="32"/>
        </w:rPr>
        <w:t>涉标的额，以及承办律师的参与人数、执业经验、风险责任、工作时长等情况，依照本收费标准，协商确定服务费收费方式和收费金额。</w:t>
      </w:r>
    </w:p>
    <w:p w14:paraId="66E65DCD">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办案差旅费、跨境通讯费、专家论证费等相关费用，以及代委托人支付的其他费用，不属于律师服务费，由委托人另行支付。</w:t>
      </w:r>
    </w:p>
    <w:p w14:paraId="0EFC701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36CAD51E">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（一）民事诉讼代理事务</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含仲裁案件代理事务、各类依法设立的调解机构调解案件代理事务，下同</w:t>
      </w:r>
      <w:r>
        <w:rPr>
          <w:rFonts w:ascii="Times New Roman" w:hAnsi="Times New Roman" w:eastAsia="仿宋" w:cs="Times New Roman"/>
          <w:position w:val="-4"/>
          <w:sz w:val="32"/>
          <w:szCs w:val="32"/>
        </w:rPr>
        <w:t>);</w:t>
      </w:r>
    </w:p>
    <w:p w14:paraId="7CA8B547">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（二）行政诉讼代理事务</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含行政复议案件代理事务、申请国家赔偿案件代理事务，下同</w:t>
      </w:r>
      <w:r>
        <w:rPr>
          <w:rFonts w:ascii="Times New Roman" w:hAnsi="Times New Roman" w:eastAsia="仿宋" w:cs="Times New Roman"/>
          <w:position w:val="-4"/>
          <w:sz w:val="32"/>
          <w:szCs w:val="32"/>
        </w:rPr>
        <w:t>);</w:t>
      </w:r>
    </w:p>
    <w:p w14:paraId="2BA333B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（三）刑事诉讼辩护</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含侦查、审查起诉、审判阶段</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和代理事务</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含刑事附带民事诉讼代理，刑事判决生效后服刑犯人的申诉、减刑、假释、保外就医、社区监管、罚金刑的执行、财产没收等当事人需要提供法律服务的代理事务</w:t>
      </w:r>
      <w:r>
        <w:rPr>
          <w:rFonts w:ascii="Times New Roman" w:hAnsi="Times New Roman" w:eastAsia="仿宋" w:cs="Times New Roman"/>
          <w:position w:val="-4"/>
          <w:sz w:val="32"/>
          <w:szCs w:val="32"/>
        </w:rPr>
        <w:t>);</w:t>
      </w:r>
    </w:p>
    <w:p w14:paraId="21495C27">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（四）开展各类专项法律服务、法律培训等事务；</w:t>
      </w:r>
    </w:p>
    <w:p w14:paraId="405AA964">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（五）起草、审查相关法律文书、接受法律咨询等事务；</w:t>
      </w:r>
    </w:p>
    <w:p w14:paraId="3C3E18CD">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kern w:val="32"/>
          <w:position w:val="-4"/>
          <w:sz w:val="32"/>
          <w:szCs w:val="32"/>
        </w:rPr>
        <w:t>（六）</w:t>
      </w:r>
      <w:r>
        <w:rPr>
          <w:rFonts w:ascii="Times New Roman" w:hAnsi="仿宋" w:eastAsia="仿宋" w:cs="Times New Roman"/>
          <w:position w:val="-4"/>
          <w:sz w:val="32"/>
          <w:szCs w:val="32"/>
        </w:rPr>
        <w:t>担任当事人常年法律顾问事务</w:t>
      </w:r>
      <w:r>
        <w:rPr>
          <w:rFonts w:ascii="Times New Roman" w:hAnsi="Times New Roman" w:eastAsia="仿宋" w:cs="Times New Roman"/>
          <w:position w:val="-4"/>
          <w:sz w:val="32"/>
          <w:szCs w:val="32"/>
        </w:rPr>
        <w:t>;</w:t>
      </w:r>
    </w:p>
    <w:p w14:paraId="71785B06">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position w:val="-4"/>
          <w:sz w:val="32"/>
          <w:szCs w:val="32"/>
        </w:rPr>
        <w:t>（七）从事其他各类非诉讼法律事务及提供其它法律服务。</w:t>
      </w:r>
    </w:p>
    <w:p w14:paraId="434CB518">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第五条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律师服务费可采取以下收费方式</w:t>
      </w:r>
      <w:r>
        <w:rPr>
          <w:rFonts w:ascii="Times New Roman" w:hAnsi="Times New Roman" w:eastAsia="仿宋" w:cs="Times New Roman"/>
          <w:position w:val="-4"/>
          <w:sz w:val="32"/>
          <w:szCs w:val="32"/>
        </w:rPr>
        <w:t>:</w:t>
      </w:r>
    </w:p>
    <w:p w14:paraId="6A0454A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（一）计件收费</w:t>
      </w:r>
      <w:r>
        <w:rPr>
          <w:rFonts w:ascii="Times New Roman" w:hAnsi="Times New Roman" w:eastAsia="仿宋" w:cs="Times New Roman"/>
          <w:position w:val="-4"/>
          <w:sz w:val="32"/>
          <w:szCs w:val="32"/>
        </w:rPr>
        <w:t>;</w:t>
      </w:r>
    </w:p>
    <w:p w14:paraId="00BE46AE">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（二）计时收费</w:t>
      </w:r>
      <w:r>
        <w:rPr>
          <w:rFonts w:ascii="Times New Roman" w:hAnsi="Times New Roman" w:eastAsia="仿宋" w:cs="Times New Roman"/>
          <w:position w:val="-4"/>
          <w:sz w:val="32"/>
          <w:szCs w:val="32"/>
        </w:rPr>
        <w:t>;</w:t>
      </w:r>
    </w:p>
    <w:p w14:paraId="3A452AD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（三）按民事、行政、刑事诉讼案件的诉讼程序分阶段收费</w:t>
      </w:r>
      <w:r>
        <w:rPr>
          <w:rFonts w:ascii="Times New Roman" w:hAnsi="Times New Roman" w:eastAsia="仿宋" w:cs="Times New Roman"/>
          <w:position w:val="-4"/>
          <w:sz w:val="32"/>
          <w:szCs w:val="32"/>
        </w:rPr>
        <w:t>;</w:t>
      </w:r>
    </w:p>
    <w:p w14:paraId="01E3842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（四）按民事、行政诉讼案件财产争议标的额的一定比例收费</w:t>
      </w:r>
      <w:r>
        <w:rPr>
          <w:rFonts w:ascii="Times New Roman" w:hAnsi="Times New Roman" w:eastAsia="仿宋" w:cs="Times New Roman"/>
          <w:position w:val="-4"/>
          <w:sz w:val="32"/>
          <w:szCs w:val="32"/>
        </w:rPr>
        <w:t>;</w:t>
      </w:r>
    </w:p>
    <w:p w14:paraId="396E59B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（五）按非诉讼专项事务、仲裁案件涉案标的额的一定比例收费</w:t>
      </w:r>
      <w:r>
        <w:rPr>
          <w:rFonts w:ascii="Times New Roman" w:hAnsi="Times New Roman" w:eastAsia="仿宋" w:cs="Times New Roman"/>
          <w:position w:val="-4"/>
          <w:sz w:val="32"/>
          <w:szCs w:val="32"/>
        </w:rPr>
        <w:t>;</w:t>
      </w:r>
    </w:p>
    <w:p w14:paraId="43EFC72E">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（六）风险收费</w:t>
      </w:r>
      <w:r>
        <w:rPr>
          <w:rFonts w:ascii="Times New Roman" w:hAnsi="Times New Roman" w:eastAsia="仿宋" w:cs="Times New Roman"/>
          <w:position w:val="-4"/>
          <w:sz w:val="32"/>
          <w:szCs w:val="32"/>
        </w:rPr>
        <w:t>;</w:t>
      </w:r>
    </w:p>
    <w:p w14:paraId="75A86CC6">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position w:val="-4"/>
          <w:sz w:val="32"/>
          <w:szCs w:val="32"/>
        </w:rPr>
        <w:t>（七）其他经委托人和本所协商一致的收费方式。</w:t>
      </w:r>
    </w:p>
    <w:p w14:paraId="7548A73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律师服务费的收费方式和收费金额，应由本所与委托人签订相应的法律事务委托代理合同进行约定，</w:t>
      </w:r>
      <w:r>
        <w:rPr>
          <w:rFonts w:hint="eastAsia" w:ascii="Times New Roman" w:hAnsi="仿宋" w:eastAsia="仿宋" w:cs="Times New Roman"/>
          <w:kern w:val="2"/>
          <w:sz w:val="32"/>
          <w:szCs w:val="32"/>
        </w:rPr>
        <w:t>律师服务费由本所收取，律师个人不得向委托人收取律师服务费。委托人确因特殊情况提出由律师代为收取律师服务费的，律师应当在代收后3个工作日内将所收款项全额交给本所。</w:t>
      </w:r>
    </w:p>
    <w:p w14:paraId="04B11BC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除律师服务费、代委托人支付的费用、办案差旅费外，本所及律师不得以任何名义向委托人收取其他费用。</w:t>
      </w:r>
    </w:p>
    <w:p w14:paraId="5B5E5F5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律师服务费由本所依约定收取并据实开具律师服务费发票，</w:t>
      </w:r>
      <w:r>
        <w:rPr>
          <w:rFonts w:ascii="Times New Roman" w:hAnsi="仿宋" w:eastAsia="仿宋" w:cs="Times New Roman"/>
          <w:kern w:val="2"/>
          <w:sz w:val="32"/>
          <w:szCs w:val="32"/>
        </w:rPr>
        <w:t>代委托人支付的费用及非包干办案差旅费应当提供有效凭证由委托人据实报销。</w:t>
      </w:r>
    </w:p>
    <w:p w14:paraId="04551EAC">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第八条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民事诉讼、行政诉讼案件分为一审、二审、强制执行、申请再审、申请抗诉（检察监督）阶段。</w:t>
      </w:r>
    </w:p>
    <w:p w14:paraId="26001B29">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刑事案件分为侦查、审查起诉、一审、二审、申诉阶段。</w:t>
      </w:r>
    </w:p>
    <w:p w14:paraId="2E11F219">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申请国家赔偿案件分为申请赔偿阶段、申请复议阶段。</w:t>
      </w:r>
    </w:p>
    <w:p w14:paraId="026B7F17">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律师服务费的收费方式，在同一法律事务办理的不同阶段，可以选择同一种方式，也可以选择不同种方式。</w:t>
      </w:r>
    </w:p>
    <w:p w14:paraId="599D2CDD">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第九条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律师代理或办理相关法律事务的差旅费用</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项目包含交通费、食宿费等，地区包含四川省内、省外国内、国外地区等</w:t>
      </w:r>
      <w:r>
        <w:rPr>
          <w:rFonts w:ascii="Times New Roman" w:hAnsi="Times New Roman" w:eastAsia="仿宋" w:cs="Times New Roman"/>
          <w:position w:val="-4"/>
          <w:sz w:val="32"/>
          <w:szCs w:val="32"/>
        </w:rPr>
        <w:t>)</w:t>
      </w:r>
      <w:r>
        <w:rPr>
          <w:rFonts w:ascii="Times New Roman" w:hAnsi="仿宋" w:eastAsia="仿宋" w:cs="Times New Roman"/>
          <w:position w:val="-4"/>
          <w:sz w:val="32"/>
          <w:szCs w:val="32"/>
        </w:rPr>
        <w:t>，由委托人承担，也可由委托人与法律事务承办律师协商确定承担和支付方式并直接结算。</w:t>
      </w:r>
    </w:p>
    <w:p w14:paraId="552ED25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4A0235EE">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1F6BB76B">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不涉及财产关系的法律事务，一般可选择计件收费、计时收费或者按不同的诉讼程序分阶段收费的方式收取律师服务费。</w:t>
      </w:r>
    </w:p>
    <w:p w14:paraId="0C5250DD">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选择计件收费的，原则上按下列标准范围与委托人商定：</w:t>
      </w:r>
    </w:p>
    <w:p w14:paraId="2C15B056">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（一）代书、起草、审查修改合同或者其他法律文书，出具律师函、法律意见书，提供律师见证、代为声明，参加谈判、会议、主持调解等，每件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35AE554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（二）担任国家机关、企事业单位以及其他组织的常年法律顾问，每年度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万元；担任自然人、个体工商户的常年法律顾问，每年度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代理常年法律顾问单位（个人）参加诉讼、仲裁、调解以及重大的专项法律服务项目，按照聘请常年法律顾问合同约定应当另行收取律师服务费的，本所给予优惠，具体数额由本所与委托人另行协商并签订委托代理合同进行约定。</w:t>
      </w:r>
    </w:p>
    <w:p w14:paraId="0D56A669">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（三）专项事务法律顾问、法律风险评估或论证、合法性审查、尽职调查等，不涉及财产标的的，每件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万元；法律培训的，每</w:t>
      </w:r>
      <w:r>
        <w:rPr>
          <w:rFonts w:hint="eastAsia" w:ascii="Times New Roman" w:hAnsi="仿宋" w:eastAsia="仿宋" w:cs="Times New Roman"/>
          <w:sz w:val="32"/>
          <w:szCs w:val="32"/>
        </w:rPr>
        <w:t>场</w:t>
      </w:r>
      <w:r>
        <w:rPr>
          <w:rFonts w:ascii="Times New Roman" w:hAnsi="仿宋" w:eastAsia="仿宋" w:cs="Times New Roman"/>
          <w:sz w:val="32"/>
          <w:szCs w:val="32"/>
        </w:rPr>
        <w:t>（次）</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48FB04A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（四）开展课题调研、立法调研，起草或者修改法律、法规、规章、规范性文件，清理规范性文件等，每件</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B7E1B94">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（五）投融资、公司上市、企业并购、重组、改制、破产、清算、公司设立、公司治理结构设计、股权及债权债务转让等，标的额不明确的按件收费，每件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—100</w:t>
      </w:r>
      <w:r>
        <w:rPr>
          <w:rFonts w:ascii="Times New Roman" w:hAnsi="仿宋" w:eastAsia="仿宋" w:cs="Times New Roman"/>
          <w:sz w:val="32"/>
          <w:szCs w:val="32"/>
        </w:rPr>
        <w:t>万。标的额明确的，参照第十四条的标准收费，国家如有相关规定的从其规定予以收费。</w:t>
      </w:r>
    </w:p>
    <w:p w14:paraId="39C13B4A">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元收取律师服务费，不足一小时的，按</w:t>
      </w:r>
      <w:r>
        <w:rPr>
          <w:rFonts w:ascii="Times New Roman" w:hAnsi="Times New Roman" w:eastAsia="仿宋" w:cs="Times New Roman"/>
          <w:sz w:val="32"/>
          <w:szCs w:val="32"/>
        </w:rPr>
        <w:t>1</w:t>
      </w:r>
      <w:r>
        <w:rPr>
          <w:rFonts w:ascii="Times New Roman" w:hAnsi="仿宋" w:eastAsia="仿宋" w:cs="Times New Roman"/>
          <w:sz w:val="32"/>
          <w:szCs w:val="32"/>
        </w:rPr>
        <w:t>小时计算。承办律师为二人以上的，以各自的计费标准和计费工作时间分别计算。</w:t>
      </w:r>
    </w:p>
    <w:p w14:paraId="7FC80EAE">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律师服务费用。</w:t>
      </w:r>
      <w:r>
        <w:rPr>
          <w:rFonts w:ascii="Times New Roman" w:hAnsi="仿宋" w:eastAsia="仿宋" w:cs="Times New Roman"/>
          <w:sz w:val="32"/>
          <w:szCs w:val="32"/>
        </w:rPr>
        <w:t>律师工作计费的合理时间由委托人和律师协商确定。</w:t>
      </w:r>
    </w:p>
    <w:p w14:paraId="32F9717D">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第十三条</w:t>
      </w:r>
      <w:r>
        <w:rPr>
          <w:rFonts w:ascii="Times New Roman" w:hAnsi="Times New Roman" w:eastAsia="仿宋" w:cs="Times New Roman"/>
          <w:b/>
          <w:sz w:val="32"/>
          <w:szCs w:val="32"/>
        </w:rPr>
        <w:t xml:space="preserve"> </w:t>
      </w:r>
      <w:r>
        <w:rPr>
          <w:rFonts w:ascii="Times New Roman" w:hAnsi="仿宋" w:eastAsia="仿宋" w:cs="Times New Roman"/>
          <w:sz w:val="32"/>
          <w:szCs w:val="32"/>
        </w:rPr>
        <w:t>不涉及财产关系的法律事务选择按诉讼程序分阶段收费的，每个阶段可以在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万元范围内收取律师服务费。发回重审（或撤销仲裁裁决重新进行仲裁）的，参照原审程序收费金额收取律师服务费。连续代理两个及两个以上程序的，参照第一个程序的收费金额下浮</w:t>
      </w:r>
      <w:r>
        <w:rPr>
          <w:rFonts w:ascii="Times New Roman" w:hAnsi="Times New Roman" w:eastAsia="仿宋" w:cs="Times New Roman"/>
          <w:sz w:val="32"/>
          <w:szCs w:val="32"/>
        </w:rPr>
        <w:t>10-50%</w:t>
      </w:r>
      <w:r>
        <w:rPr>
          <w:rFonts w:ascii="Times New Roman" w:hAnsi="仿宋" w:eastAsia="仿宋" w:cs="Times New Roman"/>
          <w:sz w:val="32"/>
          <w:szCs w:val="32"/>
        </w:rPr>
        <w:t>收取律师服务费，具体收费方式及金额，由委托人与本所另行协商并签订委托代理合同进行约定。</w:t>
      </w:r>
    </w:p>
    <w:p w14:paraId="326BA985">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7DD9AD0F">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涉及财产关系的法律事务，可按标的金额的一定比例分段累计收费，具体如下</w:t>
      </w:r>
      <w:r>
        <w:rPr>
          <w:rFonts w:ascii="Times New Roman" w:hAnsi="Times New Roman" w:eastAsia="仿宋" w:cs="Times New Roman"/>
          <w:sz w:val="32"/>
          <w:szCs w:val="32"/>
        </w:rPr>
        <w:t>:</w:t>
      </w:r>
    </w:p>
    <w:p w14:paraId="04A829CC">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标的额或涉案金额</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费率</w:t>
      </w:r>
    </w:p>
    <w:p w14:paraId="36CAEF20">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100</w:t>
      </w:r>
      <w:r>
        <w:rPr>
          <w:rFonts w:ascii="Times New Roman" w:hAnsi="仿宋" w:eastAsia="仿宋" w:cs="Times New Roman"/>
          <w:position w:val="-4"/>
          <w:sz w:val="32"/>
          <w:szCs w:val="32"/>
        </w:rPr>
        <w:t>万元以下的部分（含）</w:t>
      </w:r>
      <w:r>
        <w:rPr>
          <w:rFonts w:ascii="Times New Roman" w:hAnsi="Times New Roman" w:eastAsia="仿宋" w:cs="Times New Roman"/>
          <w:position w:val="-4"/>
          <w:sz w:val="32"/>
          <w:szCs w:val="32"/>
        </w:rPr>
        <w:t xml:space="preserve">       5-</w:t>
      </w:r>
      <w:r>
        <w:rPr>
          <w:rFonts w:hint="eastAsia" w:ascii="Times New Roman" w:hAnsi="Times New Roman" w:eastAsia="仿宋" w:cs="Times New Roman"/>
          <w:position w:val="-4"/>
          <w:sz w:val="32"/>
          <w:szCs w:val="32"/>
        </w:rPr>
        <w:t>10</w:t>
      </w:r>
      <w:r>
        <w:rPr>
          <w:rFonts w:ascii="Times New Roman" w:hAnsi="Times New Roman" w:eastAsia="仿宋" w:cs="Times New Roman"/>
          <w:position w:val="-4"/>
          <w:sz w:val="32"/>
          <w:szCs w:val="32"/>
        </w:rPr>
        <w:t>%</w:t>
      </w:r>
    </w:p>
    <w:p w14:paraId="0CB80829">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100</w:t>
      </w:r>
      <w:r>
        <w:rPr>
          <w:rFonts w:ascii="Times New Roman" w:hAnsi="仿宋" w:eastAsia="仿宋" w:cs="Times New Roman"/>
          <w:position w:val="-4"/>
          <w:sz w:val="32"/>
          <w:szCs w:val="32"/>
        </w:rPr>
        <w:t>万</w:t>
      </w:r>
      <w:r>
        <w:rPr>
          <w:rFonts w:ascii="Times New Roman" w:hAnsi="Times New Roman" w:eastAsia="仿宋" w:cs="Times New Roman"/>
          <w:position w:val="-4"/>
          <w:sz w:val="32"/>
          <w:szCs w:val="32"/>
        </w:rPr>
        <w:t>-1000</w:t>
      </w:r>
      <w:r>
        <w:rPr>
          <w:rFonts w:ascii="Times New Roman" w:hAnsi="仿宋" w:eastAsia="仿宋" w:cs="Times New Roman"/>
          <w:position w:val="-4"/>
          <w:sz w:val="32"/>
          <w:szCs w:val="32"/>
        </w:rPr>
        <w:t>万元的部分（含）</w:t>
      </w:r>
      <w:r>
        <w:rPr>
          <w:rFonts w:ascii="Times New Roman" w:hAnsi="Times New Roman" w:eastAsia="仿宋" w:cs="Times New Roman"/>
          <w:position w:val="-4"/>
          <w:sz w:val="32"/>
          <w:szCs w:val="32"/>
        </w:rPr>
        <w:t xml:space="preserve">    3-</w:t>
      </w:r>
      <w:r>
        <w:rPr>
          <w:rFonts w:hint="eastAsia" w:ascii="Times New Roman" w:hAnsi="Times New Roman" w:eastAsia="仿宋" w:cs="Times New Roman"/>
          <w:position w:val="-4"/>
          <w:sz w:val="32"/>
          <w:szCs w:val="32"/>
        </w:rPr>
        <w:t>8</w:t>
      </w:r>
      <w:r>
        <w:rPr>
          <w:rFonts w:ascii="Times New Roman" w:hAnsi="Times New Roman" w:eastAsia="仿宋" w:cs="Times New Roman"/>
          <w:position w:val="-4"/>
          <w:sz w:val="32"/>
          <w:szCs w:val="32"/>
        </w:rPr>
        <w:t>%</w:t>
      </w:r>
    </w:p>
    <w:p w14:paraId="1330B77D">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1000</w:t>
      </w:r>
      <w:r>
        <w:rPr>
          <w:rFonts w:ascii="Times New Roman" w:hAnsi="仿宋" w:eastAsia="仿宋" w:cs="Times New Roman"/>
          <w:position w:val="-4"/>
          <w:sz w:val="32"/>
          <w:szCs w:val="32"/>
        </w:rPr>
        <w:t>万</w:t>
      </w:r>
      <w:r>
        <w:rPr>
          <w:rFonts w:ascii="Times New Roman" w:hAnsi="Times New Roman" w:eastAsia="仿宋" w:cs="Times New Roman"/>
          <w:position w:val="-4"/>
          <w:sz w:val="32"/>
          <w:szCs w:val="32"/>
        </w:rPr>
        <w:t>-5000</w:t>
      </w:r>
      <w:r>
        <w:rPr>
          <w:rFonts w:ascii="Times New Roman" w:hAnsi="仿宋" w:eastAsia="仿宋" w:cs="Times New Roman"/>
          <w:position w:val="-4"/>
          <w:sz w:val="32"/>
          <w:szCs w:val="32"/>
        </w:rPr>
        <w:t>万元的部分（含）</w:t>
      </w:r>
      <w:r>
        <w:rPr>
          <w:rFonts w:ascii="Times New Roman" w:hAnsi="Times New Roman" w:eastAsia="仿宋" w:cs="Times New Roman"/>
          <w:position w:val="-4"/>
          <w:sz w:val="32"/>
          <w:szCs w:val="32"/>
        </w:rPr>
        <w:t xml:space="preserve">   1-</w:t>
      </w:r>
      <w:r>
        <w:rPr>
          <w:rFonts w:hint="eastAsia" w:ascii="Times New Roman" w:hAnsi="Times New Roman" w:eastAsia="仿宋" w:cs="Times New Roman"/>
          <w:position w:val="-4"/>
          <w:sz w:val="32"/>
          <w:szCs w:val="32"/>
        </w:rPr>
        <w:t>6</w:t>
      </w:r>
      <w:r>
        <w:rPr>
          <w:rFonts w:ascii="Times New Roman" w:hAnsi="Times New Roman" w:eastAsia="仿宋" w:cs="Times New Roman"/>
          <w:position w:val="-4"/>
          <w:sz w:val="32"/>
          <w:szCs w:val="32"/>
        </w:rPr>
        <w:t>%</w:t>
      </w:r>
    </w:p>
    <w:p w14:paraId="05AA87AB">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Times New Roman" w:eastAsia="仿宋" w:cs="Times New Roman"/>
          <w:position w:val="-4"/>
          <w:sz w:val="32"/>
          <w:szCs w:val="32"/>
        </w:rPr>
        <w:t>5000</w:t>
      </w:r>
      <w:r>
        <w:rPr>
          <w:rFonts w:ascii="Times New Roman" w:hAnsi="仿宋" w:eastAsia="仿宋" w:cs="Times New Roman"/>
          <w:position w:val="-4"/>
          <w:sz w:val="32"/>
          <w:szCs w:val="32"/>
        </w:rPr>
        <w:t>万以上的部分</w:t>
      </w:r>
      <w:r>
        <w:rPr>
          <w:rFonts w:ascii="Times New Roman" w:hAnsi="Times New Roman" w:eastAsia="仿宋" w:cs="Times New Roman"/>
          <w:position w:val="-4"/>
          <w:sz w:val="32"/>
          <w:szCs w:val="32"/>
        </w:rPr>
        <w:t xml:space="preserve">              0.5-</w:t>
      </w:r>
      <w:r>
        <w:rPr>
          <w:rFonts w:hint="eastAsia" w:ascii="Times New Roman" w:hAnsi="Times New Roman" w:eastAsia="仿宋" w:cs="Times New Roman"/>
          <w:position w:val="-4"/>
          <w:sz w:val="32"/>
          <w:szCs w:val="32"/>
        </w:rPr>
        <w:t>4</w:t>
      </w:r>
      <w:r>
        <w:rPr>
          <w:rFonts w:ascii="Times New Roman" w:hAnsi="Times New Roman" w:eastAsia="仿宋" w:cs="Times New Roman"/>
          <w:position w:val="-4"/>
          <w:sz w:val="32"/>
          <w:szCs w:val="32"/>
        </w:rPr>
        <w:t>%</w:t>
      </w:r>
    </w:p>
    <w:p w14:paraId="2EB59887">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本收费标准中，以上包含本数，以下不包含本数。</w:t>
      </w:r>
    </w:p>
    <w:p w14:paraId="55A6EEFD">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position w:val="-4"/>
          <w:sz w:val="32"/>
          <w:szCs w:val="32"/>
        </w:rPr>
      </w:pPr>
      <w:r>
        <w:rPr>
          <w:rFonts w:ascii="Times New Roman" w:hAnsi="仿宋" w:eastAsia="仿宋" w:cs="Times New Roman"/>
          <w:position w:val="-4"/>
          <w:sz w:val="32"/>
          <w:szCs w:val="32"/>
        </w:rPr>
        <w:t>按上述标准计算的律师服务费金额</w:t>
      </w:r>
      <w:r>
        <w:rPr>
          <w:rFonts w:ascii="Times New Roman" w:hAnsi="仿宋" w:eastAsia="仿宋" w:cs="Times New Roman"/>
          <w:sz w:val="32"/>
          <w:szCs w:val="32"/>
        </w:rPr>
        <w:t>低于</w:t>
      </w:r>
      <w:r>
        <w:rPr>
          <w:rFonts w:ascii="Times New Roman" w:hAnsi="Times New Roman" w:eastAsia="仿宋" w:cs="Times New Roman"/>
          <w:sz w:val="32"/>
          <w:szCs w:val="32"/>
        </w:rPr>
        <w:t>5000</w:t>
      </w:r>
      <w:r>
        <w:rPr>
          <w:rFonts w:ascii="Times New Roman" w:hAnsi="仿宋" w:eastAsia="仿宋" w:cs="Times New Roman"/>
          <w:sz w:val="32"/>
          <w:szCs w:val="32"/>
        </w:rPr>
        <w:t>元的，按</w:t>
      </w:r>
      <w:r>
        <w:rPr>
          <w:rFonts w:ascii="Times New Roman" w:hAnsi="Times New Roman" w:eastAsia="仿宋" w:cs="Times New Roman"/>
          <w:sz w:val="32"/>
          <w:szCs w:val="32"/>
        </w:rPr>
        <w:t>5000</w:t>
      </w:r>
      <w:r>
        <w:rPr>
          <w:rFonts w:ascii="Times New Roman" w:hAnsi="仿宋" w:eastAsia="仿宋" w:cs="Times New Roman"/>
          <w:sz w:val="32"/>
          <w:szCs w:val="32"/>
        </w:rPr>
        <w:t>元收取。</w:t>
      </w:r>
    </w:p>
    <w:p w14:paraId="0A0C6BA6">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代理民事诉讼案件（包括代理刑事附带民事诉讼部分的案件）一审阶段，按本标准第十四条的标准收费。律师未代理原审案件而仅代理二审、再审、发回重审一审、发回重审二审案件的，或者代理仲裁案件，或者代理申请不予执行或撤销仲裁裁决的，按照一审阶段收费标准执行。</w:t>
      </w:r>
    </w:p>
    <w:p w14:paraId="5532247B">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律师仅代理申请强制执行案件的，根据执行标的额，按一审阶段标准收费</w:t>
      </w:r>
      <w:r>
        <w:rPr>
          <w:rFonts w:hint="eastAsia" w:ascii="Times New Roman" w:hAnsi="仿宋" w:eastAsia="仿宋" w:cs="Times New Roman"/>
          <w:sz w:val="32"/>
          <w:szCs w:val="32"/>
        </w:rPr>
        <w:t>。</w:t>
      </w:r>
      <w:r>
        <w:rPr>
          <w:rFonts w:ascii="Times New Roman" w:hAnsi="仿宋" w:eastAsia="仿宋" w:cs="Times New Roman"/>
          <w:sz w:val="32"/>
          <w:szCs w:val="32"/>
        </w:rPr>
        <w:t>曾代理该案件一审或二审阶段又委托代理申请强制执行的，可按</w:t>
      </w:r>
      <w:r>
        <w:rPr>
          <w:rFonts w:hint="eastAsia" w:ascii="Times New Roman" w:hAnsi="仿宋" w:eastAsia="仿宋" w:cs="Times New Roman"/>
          <w:sz w:val="32"/>
          <w:szCs w:val="32"/>
        </w:rPr>
        <w:t>前</w:t>
      </w:r>
      <w:r>
        <w:rPr>
          <w:rFonts w:ascii="Times New Roman" w:hAnsi="仿宋" w:eastAsia="仿宋" w:cs="Times New Roman"/>
          <w:sz w:val="32"/>
          <w:szCs w:val="32"/>
        </w:rPr>
        <w:t>一阶段收费标准优惠</w:t>
      </w:r>
      <w:r>
        <w:rPr>
          <w:rFonts w:ascii="Times New Roman" w:hAnsi="Times New Roman" w:eastAsia="仿宋" w:cs="Times New Roman"/>
          <w:sz w:val="32"/>
          <w:szCs w:val="32"/>
        </w:rPr>
        <w:t>10%-50%</w:t>
      </w:r>
      <w:r>
        <w:rPr>
          <w:rFonts w:ascii="Times New Roman" w:hAnsi="仿宋" w:eastAsia="仿宋" w:cs="Times New Roman"/>
          <w:sz w:val="32"/>
          <w:szCs w:val="32"/>
        </w:rPr>
        <w:t>收费。代理执行案件也可采用风险代理或计时收费。</w:t>
      </w:r>
    </w:p>
    <w:p w14:paraId="1C666E94">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律师代理民事诉讼案件（包括律师代理刑事附带民事诉讼部分的案件）一审阶段后又继续代理二审阶段、强制执行阶段的，委托人按照与本所签订的委托代理合同的约定向本所支付律师服务费。</w:t>
      </w:r>
    </w:p>
    <w:p w14:paraId="53861180">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经委托人与本所协商一致，对涉及财产关系的法律事务，也可选择本标准第十二条规定的计时收费方式收取律师服务费。</w:t>
      </w:r>
    </w:p>
    <w:p w14:paraId="1F306BE7">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303087C">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经委托人和本所协商一致，可以选择风险收费方</w:t>
      </w:r>
      <w:r>
        <w:rPr>
          <w:rFonts w:ascii="Times New Roman" w:hAnsi="仿宋" w:eastAsia="仿宋" w:cs="Times New Roman"/>
          <w:position w:val="-4"/>
          <w:sz w:val="32"/>
          <w:szCs w:val="32"/>
        </w:rPr>
        <w:t>式收取律师服务费。对于风险收费的法律事务，可以分阶段约定律师的代理或办理目标，并在每阶段目标达成后即按合同约定收取该阶段的律师服务费。</w:t>
      </w:r>
    </w:p>
    <w:p w14:paraId="577F860D">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第二十条</w:t>
      </w:r>
      <w:r>
        <w:rPr>
          <w:rFonts w:ascii="Times New Roman" w:hAnsi="Times New Roman" w:eastAsia="仿宋" w:cs="Times New Roman"/>
          <w:position w:val="-4"/>
          <w:sz w:val="32"/>
          <w:szCs w:val="32"/>
        </w:rPr>
        <w:t xml:space="preserve"> </w:t>
      </w:r>
      <w:r>
        <w:rPr>
          <w:rFonts w:ascii="Times New Roman" w:hAnsi="仿宋" w:eastAsia="仿宋" w:cs="Times New Roman"/>
          <w:sz w:val="32"/>
          <w:szCs w:val="32"/>
        </w:rPr>
        <w:t>本所和律师不得滥用专业优势地位，对本所与当事人各自承担的风险责任作出明显不合理的约定，不得在风险代理合同中排除或者限制当事人上诉、撤诉、调解、和解等诉讼权利，或者对当事人行使上述权利设置惩罚性赔偿等不合理的条件。</w:t>
      </w:r>
    </w:p>
    <w:p w14:paraId="43001828">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第二十一条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风险收费一般应比照该案人民法院或者仲裁机构的案件受理费收取基础服务费，原则上不采取不收取基础服务费的全风险代理方式。因特殊情况确需采取全风险代理方式的，需经本所主任同意。</w:t>
      </w:r>
    </w:p>
    <w:p w14:paraId="1009AD83">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第二十二条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风险收费可以按委托人依法得以维护或实现的债权、减轻或免除债务金额的一定比例收取律师服务费，也可以在达到合同约定的代理或办理目标时，按约定的固定金额收取律师服务费。</w:t>
      </w:r>
    </w:p>
    <w:p w14:paraId="4021679A">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仿宋" w:eastAsia="仿宋" w:cs="Times New Roman"/>
          <w:position w:val="-4"/>
          <w:sz w:val="32"/>
          <w:szCs w:val="32"/>
        </w:rPr>
      </w:pPr>
      <w:r>
        <w:rPr>
          <w:rFonts w:hint="eastAsia" w:ascii="Times New Roman" w:hAnsi="仿宋" w:eastAsia="仿宋" w:cs="Times New Roman"/>
          <w:position w:val="-4"/>
          <w:sz w:val="32"/>
          <w:szCs w:val="32"/>
        </w:rPr>
        <w:t>采取风险收费方式收取律师服务费的，律师服务费不得低于涉案标的总额的10%，不得超过涉案标的总额的18%。</w:t>
      </w:r>
    </w:p>
    <w:p w14:paraId="5343951F">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第二十三条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采用风险收费方式收取律师服务费的，本所可以要求委托人对其依约应当支付的律师服务费提供相应的担保。</w:t>
      </w:r>
    </w:p>
    <w:p w14:paraId="65CD81C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4483C93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0EB6806">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5C8D4EB8">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2CE0FBC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73FAD784">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746435B5">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4A277701">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1252FADC">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同一犯罪嫌疑人、被告人涉及数个罪名或者犯罪事实的，按照该犯罪嫌疑人、被告人所涉及罪名和犯罪事实的个数，分别计件，合并收费。</w:t>
      </w:r>
    </w:p>
    <w:p w14:paraId="2EAE3BA8">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（一）侦查阶段（含检察院自侦阶段）：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2623C0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（二）审查起诉阶段：</w:t>
      </w:r>
      <w:r>
        <w:rPr>
          <w:rFonts w:ascii="Times New Roman" w:hAnsi="Times New Roman" w:eastAsia="仿宋" w:cs="Times New Roman"/>
          <w:sz w:val="32"/>
          <w:szCs w:val="32"/>
        </w:rPr>
        <w:t xml:space="preserve">        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90BA48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（三）一审阶段：</w:t>
      </w:r>
      <w:r>
        <w:rPr>
          <w:rFonts w:ascii="Times New Roman" w:hAnsi="Times New Roman" w:eastAsia="仿宋" w:cs="Times New Roman"/>
          <w:sz w:val="32"/>
          <w:szCs w:val="32"/>
        </w:rPr>
        <w:t xml:space="preserve">            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641F563">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（四）二审阶段：</w:t>
      </w:r>
      <w:r>
        <w:rPr>
          <w:rFonts w:ascii="Times New Roman" w:hAnsi="Times New Roman" w:eastAsia="仿宋" w:cs="Times New Roman"/>
          <w:sz w:val="32"/>
          <w:szCs w:val="32"/>
        </w:rPr>
        <w:t xml:space="preserve">            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4399E06">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（五）发回重审（一审阶段）：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A6353D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（六）发回重审（二审阶段）：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13A434C">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（七）代为提起刑事申诉：</w:t>
      </w:r>
      <w:r>
        <w:rPr>
          <w:rFonts w:ascii="Times New Roman" w:hAnsi="Times New Roman" w:eastAsia="仿宋" w:cs="Times New Roman"/>
          <w:sz w:val="32"/>
          <w:szCs w:val="32"/>
        </w:rPr>
        <w:t xml:space="preserve">    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E72833F">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（八）再审案件（一审阶段）：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0C91C22">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（九）再审案件（二审阶段）：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AEC7CF2">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件，也可按标的额的百分比进行收费（具体收费比例可参照本标准中民事诉讼收费标准予以收取，由委托人与本所协商确定，但收取的律师服务费</w:t>
      </w:r>
      <w:r>
        <w:rPr>
          <w:rFonts w:hint="eastAsia" w:ascii="Times New Roman" w:hAnsi="仿宋" w:eastAsia="仿宋" w:cs="Times New Roman"/>
          <w:sz w:val="32"/>
          <w:szCs w:val="32"/>
        </w:rPr>
        <w:t>总额</w:t>
      </w:r>
      <w:r>
        <w:rPr>
          <w:rFonts w:ascii="Times New Roman" w:hAnsi="仿宋" w:eastAsia="仿宋" w:cs="Times New Roman"/>
          <w:sz w:val="32"/>
          <w:szCs w:val="32"/>
        </w:rPr>
        <w:t>不得低于相同标的额民事案件一审阶段应当收取的费用）。</w:t>
      </w:r>
    </w:p>
    <w:p w14:paraId="628B2576">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w:t>
      </w:r>
      <w:r>
        <w:rPr>
          <w:rFonts w:hint="eastAsia" w:ascii="Times New Roman" w:hAnsi="仿宋" w:eastAsia="仿宋" w:cs="Times New Roman"/>
          <w:sz w:val="32"/>
          <w:szCs w:val="32"/>
        </w:rPr>
        <w:t>服务费</w:t>
      </w:r>
      <w:r>
        <w:rPr>
          <w:rFonts w:ascii="Times New Roman" w:hAnsi="仿宋" w:eastAsia="仿宋" w:cs="Times New Roman"/>
          <w:sz w:val="32"/>
          <w:szCs w:val="32"/>
        </w:rPr>
        <w:t>参照本标准中民事诉讼收费标准予以收取。</w:t>
      </w:r>
    </w:p>
    <w:p w14:paraId="4878CC5C">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w:t>
      </w:r>
      <w:r>
        <w:rPr>
          <w:rFonts w:ascii="Times New Roman" w:hAnsi="仿宋" w:eastAsia="仿宋" w:cs="Times New Roman"/>
          <w:sz w:val="32"/>
          <w:szCs w:val="32"/>
        </w:rPr>
        <w:t>万；也可按标的额的百分比进行收费（参照本标准中民事案件收费标准予以收取，由委托人与律师事务所</w:t>
      </w:r>
      <w:bookmarkStart w:id="1" w:name="_GoBack"/>
      <w:bookmarkEnd w:id="1"/>
      <w:r>
        <w:rPr>
          <w:rFonts w:ascii="Times New Roman" w:hAnsi="仿宋" w:eastAsia="仿宋" w:cs="Times New Roman"/>
          <w:sz w:val="32"/>
          <w:szCs w:val="32"/>
        </w:rPr>
        <w:t>协商确定，但律师事务所收取的服务费总金额不得低于相同标的额民事案件一审应当收取的费用）。</w:t>
      </w:r>
    </w:p>
    <w:p w14:paraId="49B4B2B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2525D29B">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经委托人与本所协商一致，对不能采取风险代理的法律事务，也可选择本标准第十二条规定的计时收费方式收取律师服务费。</w:t>
      </w:r>
    </w:p>
    <w:p w14:paraId="1599F15C">
      <w:pPr>
        <w:keepNext w:val="0"/>
        <w:keepLines w:val="0"/>
        <w:pageBreakBefore w:val="0"/>
        <w:widowControl/>
        <w:kinsoku/>
        <w:wordWrap/>
        <w:overflowPunct/>
        <w:topLinePunct w:val="0"/>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上浮收费标准</w:t>
      </w:r>
    </w:p>
    <w:p w14:paraId="27F214F7">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对涉及涉外（含港、澳、台）案件及重大、疑难、复杂或律师工作量大的案件，可以在本办法第二章规定的收费标准基础上上浮不超过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14:paraId="73D26977">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下列案件为重大、疑难、复杂案件：</w:t>
      </w:r>
    </w:p>
    <w:p w14:paraId="1284E366">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（一）由中级以上人民法院受理一审的案件；</w:t>
      </w:r>
    </w:p>
    <w:p w14:paraId="340980A4">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（二）当事人一方人数在</w:t>
      </w:r>
      <w:r>
        <w:rPr>
          <w:rFonts w:ascii="Times New Roman" w:hAnsi="Times New Roman" w:eastAsia="仿宋" w:cs="Times New Roman"/>
          <w:sz w:val="32"/>
          <w:szCs w:val="32"/>
        </w:rPr>
        <w:t>3</w:t>
      </w:r>
      <w:r>
        <w:rPr>
          <w:rFonts w:ascii="Times New Roman" w:hAnsi="仿宋" w:eastAsia="仿宋" w:cs="Times New Roman"/>
          <w:sz w:val="32"/>
          <w:szCs w:val="32"/>
        </w:rPr>
        <w:t>人及</w:t>
      </w:r>
      <w:r>
        <w:rPr>
          <w:rFonts w:ascii="Times New Roman" w:hAnsi="Times New Roman" w:eastAsia="仿宋" w:cs="Times New Roman"/>
          <w:sz w:val="32"/>
          <w:szCs w:val="32"/>
        </w:rPr>
        <w:t>3</w:t>
      </w:r>
      <w:r>
        <w:rPr>
          <w:rFonts w:ascii="Times New Roman" w:hAnsi="仿宋" w:eastAsia="仿宋" w:cs="Times New Roman"/>
          <w:sz w:val="32"/>
          <w:szCs w:val="32"/>
        </w:rPr>
        <w:t>人以上的共同诉讼案件；</w:t>
      </w:r>
    </w:p>
    <w:p w14:paraId="332D1C56">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（三）知识产权纠纷案、不正当竞争纠纷案、商誉权、名誉权纠纷等案件；</w:t>
      </w:r>
    </w:p>
    <w:p w14:paraId="047016EE">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（四）取证困难的案件；</w:t>
      </w:r>
    </w:p>
    <w:p w14:paraId="74494513">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（五）新类型案件；</w:t>
      </w:r>
    </w:p>
    <w:p w14:paraId="4579E763">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（六）涉及两个以上法律关系的案件；</w:t>
      </w:r>
    </w:p>
    <w:p w14:paraId="29BD4942">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（七）涉及专业知识，需要聘请具备非法律专业知识的人员协助方能办理的案件；</w:t>
      </w:r>
    </w:p>
    <w:p w14:paraId="661626DD">
      <w:pPr>
        <w:keepNext w:val="0"/>
        <w:keepLines w:val="0"/>
        <w:pageBreakBefore w:val="0"/>
        <w:kinsoku/>
        <w:wordWrap/>
        <w:overflowPunct/>
        <w:topLinePunct w:val="0"/>
        <w:autoSpaceDE w:val="0"/>
        <w:autoSpaceDN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（八）其他经本所与委托人协商，双方认为属于重大、疑难、复杂的民事诉讼、仲裁案件。</w:t>
      </w:r>
    </w:p>
    <w:p w14:paraId="02B23F5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对涉及到多语种法律服务的涉外（含涉港、澳、台）案件，经委托人同意，也可以由本所参照外国或港、澳、台地区律师事务所驻我国代表机构办理同类法律事务的收费标准，与委托人协商确定收费数额。</w:t>
      </w:r>
    </w:p>
    <w:p w14:paraId="0F113A30">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代理民事申诉案件，按照代理民事诉讼案件按一审阶段收费标准的</w:t>
      </w:r>
      <w:r>
        <w:rPr>
          <w:rFonts w:ascii="Times New Roman" w:hAnsi="Times New Roman" w:eastAsia="仿宋" w:cs="Times New Roman"/>
          <w:sz w:val="32"/>
          <w:szCs w:val="32"/>
        </w:rPr>
        <w:t>1-6</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倍收费，亦可按本收费标准进行风险代理或者计时收费。</w:t>
      </w:r>
    </w:p>
    <w:p w14:paraId="0B1BE73A">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单独承办执行案件，如执行难度大，执行程序复杂的重大执行案件，按一审阶段收费标准的</w:t>
      </w:r>
      <w:r>
        <w:rPr>
          <w:rFonts w:ascii="Times New Roman" w:hAnsi="Times New Roman" w:eastAsia="仿宋" w:cs="Times New Roman"/>
          <w:sz w:val="32"/>
          <w:szCs w:val="32"/>
        </w:rPr>
        <w:t>1-6</w:t>
      </w:r>
      <w:r>
        <w:rPr>
          <w:rFonts w:ascii="Times New Roman" w:hAnsi="仿宋" w:eastAsia="仿宋" w:cs="Times New Roman"/>
          <w:sz w:val="32"/>
          <w:szCs w:val="32"/>
        </w:rPr>
        <w:t>倍收费。</w:t>
      </w:r>
    </w:p>
    <w:p w14:paraId="05F0E94E">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6C555F2E">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600%</w:t>
      </w:r>
      <w:r>
        <w:rPr>
          <w:rFonts w:ascii="Times New Roman" w:hAnsi="仿宋" w:eastAsia="仿宋" w:cs="Times New Roman"/>
          <w:kern w:val="0"/>
          <w:sz w:val="32"/>
          <w:szCs w:val="32"/>
        </w:rPr>
        <w:t>收费。</w:t>
      </w:r>
    </w:p>
    <w:p w14:paraId="4773AA08">
      <w:pPr>
        <w:keepNext w:val="0"/>
        <w:keepLines w:val="0"/>
        <w:pageBreakBefore w:val="0"/>
        <w:widowControl/>
        <w:kinsoku/>
        <w:wordWrap/>
        <w:overflowPunct/>
        <w:topLinePunct w:val="0"/>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4D136166">
      <w:pPr>
        <w:pStyle w:val="6"/>
        <w:keepNext w:val="0"/>
        <w:keepLines w:val="0"/>
        <w:pageBreakBefore w:val="0"/>
        <w:kinsoku/>
        <w:wordWrap/>
        <w:overflowPunct/>
        <w:topLinePunct w:val="0"/>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
          <w:bCs/>
          <w:sz w:val="32"/>
          <w:szCs w:val="32"/>
        </w:rPr>
      </w:pPr>
      <w:r>
        <w:rPr>
          <w:rFonts w:ascii="Times New Roman" w:hAnsi="仿宋" w:eastAsia="仿宋" w:cs="Times New Roman"/>
          <w:b/>
          <w:sz w:val="32"/>
          <w:szCs w:val="32"/>
        </w:rPr>
        <w:t>第三十五条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本所与委托人可在不违反国家、省相关规定的前提下，根据委托事项的实际情况，在协商一致后对委托事务采取本收费标准未规定的其他收费方式收取律师服务费，并签订委托代理合同进行约定。</w:t>
      </w:r>
    </w:p>
    <w:p w14:paraId="6BDDBF33">
      <w:pPr>
        <w:keepNext w:val="0"/>
        <w:keepLines w:val="0"/>
        <w:pageBreakBefore w:val="0"/>
        <w:widowControl/>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委托代理合同收费条款应当包括收费项目、收费标准、收费方式、收费数额或比例、付款和结算方式、争议解决方式等内容。</w:t>
      </w:r>
    </w:p>
    <w:p w14:paraId="6B62F378">
      <w:pPr>
        <w:keepNext w:val="0"/>
        <w:keepLines w:val="0"/>
        <w:pageBreakBefore w:val="0"/>
        <w:widowControl/>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对办理涉及农民工、残疾人等弱势群体或者与公益活动有关的法律服务事项，或有其他特殊情况的法律事务，经本所主任同意后可以酌情减免律师服务费。</w:t>
      </w:r>
    </w:p>
    <w:p w14:paraId="0EE3CD9A">
      <w:pPr>
        <w:keepNext w:val="0"/>
        <w:keepLines w:val="0"/>
        <w:pageBreakBefore w:val="0"/>
        <w:widowControl/>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7BAF723F">
      <w:pPr>
        <w:keepNext w:val="0"/>
        <w:keepLines w:val="0"/>
        <w:pageBreakBefore w:val="0"/>
        <w:widowControl/>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32E80B5F">
      <w:pPr>
        <w:keepNext w:val="0"/>
        <w:keepLines w:val="0"/>
        <w:pageBreakBefore w:val="0"/>
        <w:widowControl/>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本所全体律师应当严格按本收费标准执行，不得以争揽业务为目的，通过减收或免收律师服务费吸引委托人，进行低价的不正当竞争。</w:t>
      </w:r>
    </w:p>
    <w:p w14:paraId="5406E0F4">
      <w:pPr>
        <w:keepNext w:val="0"/>
        <w:keepLines w:val="0"/>
        <w:pageBreakBefore w:val="0"/>
        <w:widowControl/>
        <w:kinsoku/>
        <w:wordWrap/>
        <w:overflowPunct/>
        <w:topLinePunct w:val="0"/>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0E0CBD21">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第四十条</w:t>
      </w:r>
      <w:r>
        <w:rPr>
          <w:rFonts w:ascii="Times New Roman" w:hAnsi="Times New Roman" w:eastAsia="仿宋" w:cs="Times New Roman"/>
          <w:b/>
          <w:bCs/>
          <w:position w:val="-4"/>
          <w:sz w:val="32"/>
          <w:szCs w:val="32"/>
        </w:rPr>
        <w:t xml:space="preserve"> </w:t>
      </w:r>
      <w:r>
        <w:rPr>
          <w:rFonts w:ascii="Times New Roman" w:hAnsi="仿宋" w:eastAsia="仿宋" w:cs="Times New Roman"/>
          <w:position w:val="-4"/>
          <w:sz w:val="32"/>
          <w:szCs w:val="32"/>
        </w:rPr>
        <w:t>本收费标准按规定报德阳市律师协会备案后生效。</w:t>
      </w:r>
    </w:p>
    <w:p w14:paraId="2473485F">
      <w:pPr>
        <w:keepNext w:val="0"/>
        <w:keepLines w:val="0"/>
        <w:pageBreakBefore w:val="0"/>
        <w:kinsoku/>
        <w:wordWrap/>
        <w:overflowPunct/>
        <w:topLinePunct w:val="0"/>
        <w:autoSpaceDE w:val="0"/>
        <w:autoSpaceDN w:val="0"/>
        <w:bidi w:val="0"/>
        <w:adjustRightInd w:val="0"/>
        <w:snapToGrid w:val="0"/>
        <w:spacing w:line="540" w:lineRule="exact"/>
        <w:ind w:right="0" w:firstLine="643" w:firstLineChars="200"/>
        <w:textAlignment w:val="auto"/>
        <w:rPr>
          <w:rFonts w:ascii="Times New Roman" w:hAnsi="Times New Roman" w:eastAsia="仿宋" w:cs="Times New Roman"/>
          <w:position w:val="-4"/>
          <w:sz w:val="32"/>
          <w:szCs w:val="32"/>
        </w:rPr>
      </w:pPr>
      <w:r>
        <w:rPr>
          <w:rFonts w:ascii="Times New Roman" w:hAnsi="仿宋" w:eastAsia="仿宋" w:cs="Times New Roman"/>
          <w:b/>
          <w:position w:val="-4"/>
          <w:sz w:val="32"/>
          <w:szCs w:val="32"/>
        </w:rPr>
        <w:t>第四十一条</w:t>
      </w:r>
      <w:r>
        <w:rPr>
          <w:rFonts w:ascii="Times New Roman" w:hAnsi="Times New Roman" w:eastAsia="仿宋" w:cs="Times New Roman"/>
          <w:position w:val="-4"/>
          <w:sz w:val="32"/>
          <w:szCs w:val="32"/>
        </w:rPr>
        <w:t xml:space="preserve"> </w:t>
      </w:r>
      <w:r>
        <w:rPr>
          <w:rFonts w:ascii="Times New Roman" w:hAnsi="仿宋" w:eastAsia="仿宋" w:cs="Times New Roman"/>
          <w:position w:val="-4"/>
          <w:sz w:val="32"/>
          <w:szCs w:val="32"/>
        </w:rPr>
        <w:t>本标准由所务会议负责解释。</w:t>
      </w:r>
    </w:p>
    <w:p w14:paraId="679DF2E9">
      <w:pPr>
        <w:keepNext w:val="0"/>
        <w:keepLines w:val="0"/>
        <w:pageBreakBefore w:val="0"/>
        <w:kinsoku/>
        <w:wordWrap/>
        <w:overflowPunct/>
        <w:topLinePunct w:val="0"/>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第四十二条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本所全体律师严格遵照执行，并接受社会监督。</w:t>
      </w:r>
    </w:p>
    <w:p w14:paraId="624DB054">
      <w:pPr>
        <w:keepNext w:val="0"/>
        <w:keepLines w:val="0"/>
        <w:pageBreakBefore w:val="0"/>
        <w:kinsoku/>
        <w:wordWrap/>
        <w:overflowPunct/>
        <w:topLinePunct w:val="0"/>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p>
    <w:p w14:paraId="7A86CB5F">
      <w:pPr>
        <w:keepNext w:val="0"/>
        <w:keepLines w:val="0"/>
        <w:pageBreakBefore w:val="0"/>
        <w:kinsoku/>
        <w:wordWrap/>
        <w:overflowPunct/>
        <w:topLinePunct w:val="0"/>
        <w:bidi w:val="0"/>
        <w:adjustRightInd w:val="0"/>
        <w:snapToGrid w:val="0"/>
        <w:spacing w:line="540" w:lineRule="exact"/>
        <w:ind w:right="0"/>
        <w:textAlignment w:val="auto"/>
        <w:rPr>
          <w:rFonts w:ascii="Times New Roman" w:hAnsi="Times New Roman" w:eastAsia="仿宋" w:cs="Times New Roman"/>
          <w:sz w:val="28"/>
          <w:szCs w:val="36"/>
        </w:rPr>
      </w:pPr>
    </w:p>
    <w:p w14:paraId="166325F2">
      <w:pPr>
        <w:keepNext w:val="0"/>
        <w:keepLines w:val="0"/>
        <w:pageBreakBefore w:val="0"/>
        <w:kinsoku/>
        <w:wordWrap w:val="0"/>
        <w:overflowPunct/>
        <w:topLinePunct w:val="0"/>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6BA91053">
      <w:pPr>
        <w:keepNext w:val="0"/>
        <w:keepLines w:val="0"/>
        <w:pageBreakBefore w:val="0"/>
        <w:kinsoku/>
        <w:wordWrap w:val="0"/>
        <w:overflowPunct/>
        <w:topLinePunct w:val="0"/>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AD35">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E4DC14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65D6A"/>
    <w:rsid w:val="000776E6"/>
    <w:rsid w:val="00086D6F"/>
    <w:rsid w:val="00090641"/>
    <w:rsid w:val="000A5223"/>
    <w:rsid w:val="000B6369"/>
    <w:rsid w:val="00150461"/>
    <w:rsid w:val="00163348"/>
    <w:rsid w:val="001702D6"/>
    <w:rsid w:val="001738A7"/>
    <w:rsid w:val="00176683"/>
    <w:rsid w:val="001B2CA9"/>
    <w:rsid w:val="001D6AF9"/>
    <w:rsid w:val="002644D8"/>
    <w:rsid w:val="0026763C"/>
    <w:rsid w:val="00287CA0"/>
    <w:rsid w:val="002A714E"/>
    <w:rsid w:val="002A728B"/>
    <w:rsid w:val="002B64F3"/>
    <w:rsid w:val="002B66A4"/>
    <w:rsid w:val="002E0982"/>
    <w:rsid w:val="002E4770"/>
    <w:rsid w:val="002F49BF"/>
    <w:rsid w:val="002F7560"/>
    <w:rsid w:val="0033426A"/>
    <w:rsid w:val="003517FF"/>
    <w:rsid w:val="003B165B"/>
    <w:rsid w:val="003B4A86"/>
    <w:rsid w:val="003B7B12"/>
    <w:rsid w:val="003C595B"/>
    <w:rsid w:val="00404C3D"/>
    <w:rsid w:val="004128C2"/>
    <w:rsid w:val="00475C6D"/>
    <w:rsid w:val="004C268B"/>
    <w:rsid w:val="004D1774"/>
    <w:rsid w:val="004D516D"/>
    <w:rsid w:val="004D70C4"/>
    <w:rsid w:val="005245C8"/>
    <w:rsid w:val="00557349"/>
    <w:rsid w:val="00557E26"/>
    <w:rsid w:val="00567584"/>
    <w:rsid w:val="005B76B8"/>
    <w:rsid w:val="00600918"/>
    <w:rsid w:val="00677DBB"/>
    <w:rsid w:val="00680FAC"/>
    <w:rsid w:val="006C311F"/>
    <w:rsid w:val="006C4717"/>
    <w:rsid w:val="006C6CD7"/>
    <w:rsid w:val="006D6BB3"/>
    <w:rsid w:val="00751D1A"/>
    <w:rsid w:val="007752D3"/>
    <w:rsid w:val="007779F0"/>
    <w:rsid w:val="007B2EEE"/>
    <w:rsid w:val="007D09B9"/>
    <w:rsid w:val="008542A3"/>
    <w:rsid w:val="0087681B"/>
    <w:rsid w:val="00892619"/>
    <w:rsid w:val="008C65AC"/>
    <w:rsid w:val="008E6441"/>
    <w:rsid w:val="00912D78"/>
    <w:rsid w:val="00915DD7"/>
    <w:rsid w:val="0094566E"/>
    <w:rsid w:val="009928C2"/>
    <w:rsid w:val="009B0D09"/>
    <w:rsid w:val="009B2BF1"/>
    <w:rsid w:val="009B325A"/>
    <w:rsid w:val="009C08AA"/>
    <w:rsid w:val="009E2765"/>
    <w:rsid w:val="00A133D1"/>
    <w:rsid w:val="00A3717A"/>
    <w:rsid w:val="00A40DB8"/>
    <w:rsid w:val="00A5775E"/>
    <w:rsid w:val="00A6450A"/>
    <w:rsid w:val="00A75AA1"/>
    <w:rsid w:val="00A9435E"/>
    <w:rsid w:val="00B11F7A"/>
    <w:rsid w:val="00B35CBC"/>
    <w:rsid w:val="00B718AA"/>
    <w:rsid w:val="00B83821"/>
    <w:rsid w:val="00BB26EC"/>
    <w:rsid w:val="00BF6BC4"/>
    <w:rsid w:val="00C31312"/>
    <w:rsid w:val="00C42A1D"/>
    <w:rsid w:val="00CB26F6"/>
    <w:rsid w:val="00CE1660"/>
    <w:rsid w:val="00D0276C"/>
    <w:rsid w:val="00D23FC9"/>
    <w:rsid w:val="00D246FF"/>
    <w:rsid w:val="00D30793"/>
    <w:rsid w:val="00D40349"/>
    <w:rsid w:val="00D4080E"/>
    <w:rsid w:val="00D63AEF"/>
    <w:rsid w:val="00D94AA5"/>
    <w:rsid w:val="00DA26D2"/>
    <w:rsid w:val="00DC11B8"/>
    <w:rsid w:val="00E04A36"/>
    <w:rsid w:val="00E53727"/>
    <w:rsid w:val="00E5525C"/>
    <w:rsid w:val="00E64635"/>
    <w:rsid w:val="00E7708B"/>
    <w:rsid w:val="00E939E9"/>
    <w:rsid w:val="00E95C3D"/>
    <w:rsid w:val="00EA5D3A"/>
    <w:rsid w:val="00EB3F47"/>
    <w:rsid w:val="00EF32BA"/>
    <w:rsid w:val="00F1300B"/>
    <w:rsid w:val="00F618B6"/>
    <w:rsid w:val="00F73074"/>
    <w:rsid w:val="00FB0721"/>
    <w:rsid w:val="00FE2E7F"/>
    <w:rsid w:val="1F270B7D"/>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5718</Words>
  <Characters>5890</Characters>
  <Lines>43</Lines>
  <Paragraphs>12</Paragraphs>
  <TotalTime>1</TotalTime>
  <ScaleCrop>false</ScaleCrop>
  <LinksUpToDate>false</LinksUpToDate>
  <CharactersWithSpaces>6049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2025-05-23T07:13:40Z</cp:lastPrinted>
  <dcterms:modified xsi:type="dcterms:W3CDTF">2025-05-23T07:13:45Z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