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30</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0A3F54D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号）及省上相关规定，本会对四川德奥律师事务所提交的《四川德奥律师事务所律师服务收费标准》已审查完毕，相关内容符合相关规定，本会同意备案人的备案申请，该收费标准自备案之日起至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bookmarkStart w:id="1" w:name="_GoBack"/>
      <w:bookmarkEnd w:id="1"/>
    </w:p>
    <w:p w14:paraId="35ED0B1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7A20C025">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四川德奥律师事务所律师服务收费标准</w:t>
      </w:r>
    </w:p>
    <w:p w14:paraId="123DAA5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73DAC08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6B03B5F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6D6412A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03D12CA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律师办理委托事项过程中发生的诉讼费、仲裁费、鉴定费、公证费、异地办案差旅费、专家论证费等费用，以及律师事务所代委托人支付的其他费用，由委托人另行支付。</w:t>
      </w:r>
    </w:p>
    <w:p w14:paraId="5957160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589A229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3D6A819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1ED1D46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b/>
          <w:bCs/>
          <w:kern w:val="2"/>
          <w:sz w:val="32"/>
          <w:szCs w:val="32"/>
        </w:rPr>
        <w:t xml:space="preserve"> </w:t>
      </w:r>
      <w:r>
        <w:rPr>
          <w:rFonts w:ascii="Times New Roman" w:hAnsi="仿宋" w:eastAsia="仿宋" w:cs="Times New Roman"/>
          <w:kern w:val="2"/>
          <w:sz w:val="32"/>
          <w:szCs w:val="32"/>
        </w:rPr>
        <w:t>律师服务收费按政府指导价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1F593C3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22D6BAD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b/>
          <w:bCs/>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w:t>
      </w:r>
    </w:p>
    <w:p w14:paraId="71929E9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011D959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06EC372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76A075C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4E9CCEC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496A335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49DAA2A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4BFB699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128542E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（三）企业合规体系建设、专项事务法律顾问、法律风险评估或论证、合法性审查、法律意见书、尽职调查、法律培训等，不涉及财产的，可按件收费，每件</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w:t>
      </w:r>
    </w:p>
    <w:p w14:paraId="48AD28B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10</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6FC4DCC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对于上述按件收费情形，可根据案件情况、复杂程度，合理上浮。</w:t>
      </w:r>
    </w:p>
    <w:p w14:paraId="7E8D432C">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1000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14:paraId="5B6703F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09C73ED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1</w:t>
      </w:r>
      <w:r>
        <w:rPr>
          <w:rFonts w:ascii="Times New Roman" w:hAnsi="仿宋" w:eastAsia="仿宋" w:cs="Times New Roman"/>
          <w:sz w:val="32"/>
          <w:szCs w:val="32"/>
        </w:rPr>
        <w:t>万</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万元范围内收取律师服务费，可根据案件情况，在原收费标准的基础上浮</w:t>
      </w:r>
      <w:r>
        <w:rPr>
          <w:rFonts w:ascii="Times New Roman" w:hAnsi="Times New Roman" w:eastAsia="仿宋" w:cs="Times New Roman"/>
          <w:sz w:val="32"/>
          <w:szCs w:val="32"/>
        </w:rPr>
        <w:t>0%—50%</w:t>
      </w:r>
      <w:r>
        <w:rPr>
          <w:rFonts w:ascii="Times New Roman" w:hAnsi="仿宋" w:eastAsia="仿宋" w:cs="Times New Roman"/>
          <w:sz w:val="32"/>
          <w:szCs w:val="32"/>
        </w:rPr>
        <w:t>。</w:t>
      </w:r>
    </w:p>
    <w:p w14:paraId="796602A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1729FF9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4F46794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6%-9%</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6D6D932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3%-5%</w:t>
      </w:r>
      <w:r>
        <w:rPr>
          <w:rFonts w:ascii="Times New Roman" w:hAnsi="仿宋" w:eastAsia="仿宋" w:cs="Times New Roman"/>
          <w:sz w:val="32"/>
          <w:szCs w:val="32"/>
        </w:rPr>
        <w:t>；</w:t>
      </w:r>
    </w:p>
    <w:p w14:paraId="773B964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2%-4%;</w:t>
      </w:r>
    </w:p>
    <w:p w14:paraId="50C4F1D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5FAFDC33">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20%</w:t>
      </w:r>
      <w:r>
        <w:rPr>
          <w:rFonts w:ascii="Times New Roman" w:hAnsi="仿宋" w:eastAsia="仿宋" w:cs="Times New Roman"/>
          <w:sz w:val="32"/>
          <w:szCs w:val="32"/>
        </w:rPr>
        <w:t>的优惠。同时代理本诉、本请求和反诉、反请求案件的，反诉、反请求按标的额以民事诉讼案件一审阶段的收费标准给予不超过</w:t>
      </w:r>
      <w:r>
        <w:rPr>
          <w:rFonts w:ascii="Times New Roman" w:hAnsi="Times New Roman" w:eastAsia="仿宋" w:cs="Times New Roman"/>
          <w:sz w:val="32"/>
          <w:szCs w:val="32"/>
        </w:rPr>
        <w:t>20%</w:t>
      </w:r>
      <w:r>
        <w:rPr>
          <w:rFonts w:ascii="Times New Roman" w:hAnsi="仿宋" w:eastAsia="仿宋" w:cs="Times New Roman"/>
          <w:sz w:val="32"/>
          <w:szCs w:val="32"/>
        </w:rPr>
        <w:t>的优惠。</w:t>
      </w:r>
    </w:p>
    <w:p w14:paraId="71ED897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w:t>
      </w:r>
    </w:p>
    <w:p w14:paraId="418C5D6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1F02043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3522409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9%-18%</w:t>
      </w:r>
      <w:r>
        <w:rPr>
          <w:rFonts w:ascii="Times New Roman" w:hAnsi="仿宋" w:eastAsia="仿宋" w:cs="Times New Roman"/>
          <w:sz w:val="32"/>
          <w:szCs w:val="32"/>
        </w:rPr>
        <w:t>计算；</w:t>
      </w:r>
    </w:p>
    <w:p w14:paraId="1225418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14:paraId="1D79F32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5%-12%</w:t>
      </w:r>
      <w:r>
        <w:rPr>
          <w:rFonts w:ascii="Times New Roman" w:hAnsi="仿宋" w:eastAsia="仿宋" w:cs="Times New Roman"/>
          <w:sz w:val="32"/>
          <w:szCs w:val="32"/>
        </w:rPr>
        <w:t>计算；</w:t>
      </w:r>
    </w:p>
    <w:p w14:paraId="7EE891C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3%-9%</w:t>
      </w:r>
      <w:r>
        <w:rPr>
          <w:rFonts w:ascii="Times New Roman" w:hAnsi="仿宋" w:eastAsia="仿宋" w:cs="Times New Roman"/>
          <w:sz w:val="32"/>
          <w:szCs w:val="32"/>
        </w:rPr>
        <w:t>计算；</w:t>
      </w:r>
    </w:p>
    <w:p w14:paraId="1261D05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2%-6%</w:t>
      </w:r>
      <w:r>
        <w:rPr>
          <w:rFonts w:ascii="Times New Roman" w:hAnsi="仿宋" w:eastAsia="仿宋" w:cs="Times New Roman"/>
          <w:sz w:val="32"/>
          <w:szCs w:val="32"/>
        </w:rPr>
        <w:t>计算。</w:t>
      </w:r>
    </w:p>
    <w:p w14:paraId="3BA7F24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7D0DD7C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第十六条</w:t>
      </w:r>
      <w:r>
        <w:rPr>
          <w:rFonts w:ascii="Times New Roman" w:hAnsi="Times New Roman" w:eastAsia="仿宋" w:cs="Times New Roman"/>
          <w:b/>
          <w:bCs/>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5B12C11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515B856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332AFA4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下列案件不能采取或变相采取风险代理收费方式：</w:t>
      </w:r>
    </w:p>
    <w:p w14:paraId="2281C53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1B66103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3C006AB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346C9BC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31B4EE3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30C7454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15F47DC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阶段、再审阶段，收费标准采取按一人一罪名执行。</w:t>
      </w:r>
    </w:p>
    <w:p w14:paraId="1E69A7C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侦查阶段、审查起诉阶段、一审阶段、二审阶段，每个阶段</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万元；上述阶段同时由本所律师代理的，可给予优惠；</w:t>
      </w:r>
    </w:p>
    <w:p w14:paraId="478A58E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、重审、申诉、再审，每件每阶段按照</w:t>
      </w:r>
      <w:r>
        <w:rPr>
          <w:rFonts w:ascii="Times New Roman" w:hAnsi="Times New Roman" w:eastAsia="仿宋" w:cs="Times New Roman"/>
          <w:sz w:val="32"/>
          <w:szCs w:val="32"/>
        </w:rPr>
        <w:t>6-30</w:t>
      </w:r>
      <w:r>
        <w:rPr>
          <w:rFonts w:ascii="Times New Roman" w:hAnsi="仿宋" w:eastAsia="仿宋" w:cs="Times New Roman"/>
          <w:sz w:val="32"/>
          <w:szCs w:val="32"/>
        </w:rPr>
        <w:t>万元收取，如上述案件经重审、申诉、再审，又涉及一审、二审阶段及其他阶段的，则每个阶段另行按照本条对应的费用加收；</w:t>
      </w:r>
    </w:p>
    <w:p w14:paraId="5D943B5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、案件涉及有财产及其他标的，参照本标准第二章第二节的规定执行。</w:t>
      </w:r>
    </w:p>
    <w:p w14:paraId="692FDD1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w:t>
      </w:r>
    </w:p>
    <w:p w14:paraId="0A2C459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不能采取或变相采取风险代理收费的（二）至（六）项参照本标准第二章第二节的规定执行。</w:t>
      </w:r>
    </w:p>
    <w:p w14:paraId="6E77134C">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62B84F2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48F0AF85">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kern w:val="0"/>
          <w:sz w:val="32"/>
          <w:szCs w:val="32"/>
        </w:rPr>
      </w:pPr>
      <w:r>
        <w:rPr>
          <w:rFonts w:ascii="Times New Roman" w:hAnsi="黑体" w:eastAsia="黑体" w:cs="Times New Roman"/>
          <w:bCs/>
          <w:kern w:val="0"/>
          <w:sz w:val="32"/>
          <w:szCs w:val="32"/>
        </w:rPr>
        <w:t>第三章</w:t>
      </w:r>
      <w:r>
        <w:rPr>
          <w:rFonts w:ascii="Times New Roman" w:hAnsi="Times New Roman" w:eastAsia="黑体" w:cs="Times New Roman"/>
          <w:bCs/>
          <w:kern w:val="0"/>
          <w:sz w:val="32"/>
          <w:szCs w:val="32"/>
        </w:rPr>
        <w:t xml:space="preserve"> </w:t>
      </w:r>
      <w:r>
        <w:rPr>
          <w:rFonts w:ascii="Times New Roman" w:hAnsi="黑体" w:eastAsia="黑体" w:cs="Times New Roman"/>
          <w:bCs/>
          <w:kern w:val="0"/>
          <w:sz w:val="32"/>
          <w:szCs w:val="32"/>
        </w:rPr>
        <w:t>上浮收费标准</w:t>
      </w:r>
    </w:p>
    <w:p w14:paraId="7C88A6F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选择计时收费的案件，如涉及涉外（含港、澳、台）案件及重大、疑难、复杂及律师工作量大的民事诉讼、仲裁案件，可以按计时收费标准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57DF8D7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3</w:t>
      </w:r>
      <w:r>
        <w:rPr>
          <w:rFonts w:ascii="Times New Roman" w:hAnsi="仿宋" w:eastAsia="仿宋" w:cs="Times New Roman"/>
          <w:sz w:val="32"/>
          <w:szCs w:val="32"/>
        </w:rPr>
        <w:t>倍执行。经委托人同意，也可以由本所参照外国或港、澳、台地区律师事务所驻我国代表机构办理同类法律事务的收费标准，与委托人协商确定收费数额。</w:t>
      </w:r>
    </w:p>
    <w:p w14:paraId="3F2A6DB2">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倍收费。下列案件为重大、疑难、复杂民事诉讼、仲裁案件：</w:t>
      </w:r>
    </w:p>
    <w:p w14:paraId="2B5B09E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5C3BB988">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408C9E88">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465AA91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3E2EDF0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7046D554">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2590440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7FB1CA7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0DD604A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78C1D64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1ACC8C8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办理职务犯罪、异地、重大、疑难、复杂、社会影响较大的刑事诉讼案件，可以在本收费标准中刑事收费标准基础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0632BA17">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kern w:val="0"/>
          <w:sz w:val="32"/>
          <w:szCs w:val="32"/>
        </w:rPr>
      </w:pPr>
      <w:r>
        <w:rPr>
          <w:rFonts w:ascii="Times New Roman" w:hAnsi="黑体" w:eastAsia="黑体" w:cs="Times New Roman"/>
          <w:bCs/>
          <w:kern w:val="0"/>
          <w:sz w:val="32"/>
          <w:szCs w:val="32"/>
        </w:rPr>
        <w:t>第四章</w:t>
      </w:r>
      <w:r>
        <w:rPr>
          <w:rFonts w:ascii="Times New Roman" w:hAnsi="Times New Roman" w:eastAsia="黑体" w:cs="Times New Roman"/>
          <w:bCs/>
          <w:kern w:val="0"/>
          <w:sz w:val="32"/>
          <w:szCs w:val="32"/>
        </w:rPr>
        <w:t xml:space="preserve"> </w:t>
      </w:r>
      <w:r>
        <w:rPr>
          <w:rFonts w:ascii="Times New Roman" w:hAnsi="黑体" w:eastAsia="黑体" w:cs="Times New Roman"/>
          <w:bCs/>
          <w:kern w:val="0"/>
          <w:sz w:val="32"/>
          <w:szCs w:val="32"/>
        </w:rPr>
        <w:t>其他说明</w:t>
      </w:r>
    </w:p>
    <w:p w14:paraId="439A594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6286A7EA">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372C30B3">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6FDDD25E">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律师接受指派的法律援助案件，不得向受援人收取任何费用。</w:t>
      </w:r>
    </w:p>
    <w:p w14:paraId="7DC10922">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53503D73">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全体律师除前述第三十条、第三十一条涉及案件外，其他案件收费应严格按本收费标准执行，不得以争揽业务为目的，通过减收或免收律师服务费吸引委托人，进行低价的不正当竞争。</w:t>
      </w:r>
    </w:p>
    <w:p w14:paraId="39BC167C">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kern w:val="0"/>
          <w:sz w:val="32"/>
          <w:szCs w:val="32"/>
        </w:rPr>
      </w:pPr>
      <w:r>
        <w:rPr>
          <w:rFonts w:ascii="Times New Roman" w:hAnsi="黑体" w:eastAsia="黑体" w:cs="Times New Roman"/>
          <w:bCs/>
          <w:kern w:val="0"/>
          <w:sz w:val="32"/>
          <w:szCs w:val="32"/>
        </w:rPr>
        <w:t>第五章</w:t>
      </w:r>
      <w:r>
        <w:rPr>
          <w:rFonts w:ascii="Times New Roman" w:hAnsi="Times New Roman" w:eastAsia="黑体" w:cs="Times New Roman"/>
          <w:bCs/>
          <w:kern w:val="0"/>
          <w:sz w:val="32"/>
          <w:szCs w:val="32"/>
        </w:rPr>
        <w:t xml:space="preserve"> </w:t>
      </w:r>
      <w:r>
        <w:rPr>
          <w:rFonts w:ascii="Times New Roman" w:hAnsi="黑体" w:eastAsia="黑体" w:cs="Times New Roman"/>
          <w:bCs/>
          <w:kern w:val="0"/>
          <w:sz w:val="32"/>
          <w:szCs w:val="32"/>
        </w:rPr>
        <w:t>附则</w:t>
      </w:r>
    </w:p>
    <w:p w14:paraId="6E3CBA16">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第三十三条</w:t>
      </w:r>
      <w:r>
        <w:rPr>
          <w:rFonts w:ascii="Times New Roman" w:hAnsi="Times New Roman" w:eastAsia="仿宋" w:cs="Times New Roman"/>
          <w:b/>
          <w:bCs/>
          <w:kern w:val="0"/>
          <w:sz w:val="32"/>
          <w:szCs w:val="32"/>
        </w:rPr>
        <w:t xml:space="preserve"> </w:t>
      </w:r>
      <w:r>
        <w:rPr>
          <w:rFonts w:ascii="Times New Roman" w:hAnsi="仿宋" w:eastAsia="仿宋" w:cs="Times New Roman"/>
          <w:kern w:val="0"/>
          <w:sz w:val="32"/>
          <w:szCs w:val="32"/>
        </w:rPr>
        <w:t>本收费标准应当按照相关规定予以备案，并在所内公示，律师事务所全体律师严格遵照执行，并接受社会监督。</w:t>
      </w:r>
    </w:p>
    <w:p w14:paraId="4FDFEC1A">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第三十四条</w:t>
      </w:r>
      <w:r>
        <w:rPr>
          <w:rFonts w:ascii="Times New Roman" w:hAnsi="Times New Roman" w:eastAsia="仿宋" w:cs="Times New Roman"/>
          <w:b/>
          <w:bCs/>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1E0AFE54">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kern w:val="0"/>
          <w:sz w:val="32"/>
          <w:szCs w:val="32"/>
        </w:rPr>
      </w:pPr>
    </w:p>
    <w:p w14:paraId="6BD77EED">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28"/>
          <w:szCs w:val="36"/>
        </w:rPr>
      </w:pPr>
    </w:p>
    <w:p w14:paraId="1C44EDE2">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2DBBED64">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C1C6B">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EDC7DEA">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150461"/>
    <w:rsid w:val="00163348"/>
    <w:rsid w:val="001702D6"/>
    <w:rsid w:val="00176683"/>
    <w:rsid w:val="001B2CA9"/>
    <w:rsid w:val="001C1A96"/>
    <w:rsid w:val="0021370A"/>
    <w:rsid w:val="002644D8"/>
    <w:rsid w:val="0026763C"/>
    <w:rsid w:val="00287CA0"/>
    <w:rsid w:val="002A714E"/>
    <w:rsid w:val="002A728B"/>
    <w:rsid w:val="002B64F3"/>
    <w:rsid w:val="002B66A4"/>
    <w:rsid w:val="002E0982"/>
    <w:rsid w:val="002F49BF"/>
    <w:rsid w:val="003517FF"/>
    <w:rsid w:val="00376DE1"/>
    <w:rsid w:val="003B4A86"/>
    <w:rsid w:val="003D7287"/>
    <w:rsid w:val="00404C3D"/>
    <w:rsid w:val="004128C2"/>
    <w:rsid w:val="004C268B"/>
    <w:rsid w:val="004D1774"/>
    <w:rsid w:val="004D70C4"/>
    <w:rsid w:val="005245C8"/>
    <w:rsid w:val="00557E26"/>
    <w:rsid w:val="00567584"/>
    <w:rsid w:val="00652317"/>
    <w:rsid w:val="00677DBB"/>
    <w:rsid w:val="006C311F"/>
    <w:rsid w:val="006C6CD7"/>
    <w:rsid w:val="006D3174"/>
    <w:rsid w:val="006D6BB3"/>
    <w:rsid w:val="00751D1A"/>
    <w:rsid w:val="007752D3"/>
    <w:rsid w:val="007B2EEE"/>
    <w:rsid w:val="007D09B9"/>
    <w:rsid w:val="008542A3"/>
    <w:rsid w:val="008804B7"/>
    <w:rsid w:val="00892619"/>
    <w:rsid w:val="008C65AC"/>
    <w:rsid w:val="00912D78"/>
    <w:rsid w:val="00915DD7"/>
    <w:rsid w:val="009928C2"/>
    <w:rsid w:val="009B0D09"/>
    <w:rsid w:val="009B2BF1"/>
    <w:rsid w:val="009C08AA"/>
    <w:rsid w:val="00A40DB8"/>
    <w:rsid w:val="00A5775E"/>
    <w:rsid w:val="00A75AA1"/>
    <w:rsid w:val="00B718AA"/>
    <w:rsid w:val="00BB26EC"/>
    <w:rsid w:val="00BF6BC4"/>
    <w:rsid w:val="00C31312"/>
    <w:rsid w:val="00C42A1D"/>
    <w:rsid w:val="00CB26F6"/>
    <w:rsid w:val="00CE1660"/>
    <w:rsid w:val="00D0276C"/>
    <w:rsid w:val="00D23FC9"/>
    <w:rsid w:val="00D246FF"/>
    <w:rsid w:val="00D40349"/>
    <w:rsid w:val="00D4242B"/>
    <w:rsid w:val="00D94AA5"/>
    <w:rsid w:val="00DC11B8"/>
    <w:rsid w:val="00E53727"/>
    <w:rsid w:val="00E64635"/>
    <w:rsid w:val="00E7708B"/>
    <w:rsid w:val="00EA5D3A"/>
    <w:rsid w:val="00ED2478"/>
    <w:rsid w:val="00EF32BA"/>
    <w:rsid w:val="00F618B6"/>
    <w:rsid w:val="00F73074"/>
    <w:rsid w:val="00FB0721"/>
    <w:rsid w:val="00FE2E7F"/>
    <w:rsid w:val="26D74CCE"/>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4283</Words>
  <Characters>4435</Characters>
  <Lines>32</Lines>
  <Paragraphs>9</Paragraphs>
  <TotalTime>0</TotalTime>
  <ScaleCrop>false</ScaleCrop>
  <LinksUpToDate>false</LinksUpToDate>
  <CharactersWithSpaces>4508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dcterms:modified xsi:type="dcterms:W3CDTF">2025-05-23T06:49:17Z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