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A048A1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号）及省上相关规定，本会对四川公达信律师事务所提交的《四川公达信律师事务所律师服务收费标准》已审查完毕，相关内容符合相关规定，本会同意备案人的备案申请，该收费标准自备案之日起至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F87FC0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6B3EE60F">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四川公达信律师事务所律师服务收费标准</w:t>
      </w:r>
    </w:p>
    <w:p w14:paraId="53E15A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0CED49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63C3E26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063617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律师服务费是律师事务所接受委托办理法律事务，向委托人收取服务报酬的行为。</w:t>
      </w:r>
    </w:p>
    <w:p w14:paraId="043AD8A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7D0A93F">
      <w:pPr>
        <w:keepNext w:val="0"/>
        <w:keepLines w:val="0"/>
        <w:pageBreakBefore w:val="0"/>
        <w:numPr>
          <w:ilvl w:val="0"/>
          <w:numId w:val="1"/>
        </w:numPr>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本所就下列委托事项收取律师服务费：</w:t>
      </w:r>
    </w:p>
    <w:p w14:paraId="3569F08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代理各类案件担任代理人、辩护人，起草相关法律文书，开展各类专项法律服务，担任法律顾问，接受法律咨询等法律业务。</w:t>
      </w:r>
      <w:bookmarkStart w:id="1" w:name="_GoBack"/>
      <w:bookmarkEnd w:id="1"/>
    </w:p>
    <w:p w14:paraId="01B5F11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律师从事其它与法律服务及法律培训相关的事务。</w:t>
      </w:r>
    </w:p>
    <w:p w14:paraId="5F9BAEF3">
      <w:pPr>
        <w:keepNext w:val="0"/>
        <w:keepLines w:val="0"/>
        <w:pageBreakBefore w:val="0"/>
        <w:numPr>
          <w:ilvl w:val="0"/>
          <w:numId w:val="1"/>
        </w:numPr>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律师服务收费按政府指导价</w:t>
      </w:r>
      <w:r>
        <w:rPr>
          <w:rFonts w:ascii="Times New Roman" w:hAnsi="Times New Roman" w:eastAsia="仿宋" w:cs="Times New Roman"/>
          <w:sz w:val="32"/>
          <w:szCs w:val="32"/>
        </w:rPr>
        <w:t>(</w:t>
      </w:r>
      <w:r>
        <w:rPr>
          <w:rFonts w:ascii="Times New Roman" w:hAnsi="仿宋" w:eastAsia="仿宋" w:cs="Times New Roman"/>
          <w:sz w:val="32"/>
          <w:szCs w:val="32"/>
        </w:rPr>
        <w:t>如有</w:t>
      </w:r>
      <w:r>
        <w:rPr>
          <w:rFonts w:ascii="Times New Roman" w:hAnsi="Times New Roman" w:eastAsia="仿宋" w:cs="Times New Roman"/>
          <w:sz w:val="32"/>
          <w:szCs w:val="32"/>
        </w:rPr>
        <w:t>)</w:t>
      </w:r>
      <w:r>
        <w:rPr>
          <w:rFonts w:ascii="Times New Roman" w:hAnsi="仿宋" w:eastAsia="仿宋" w:cs="Times New Roman"/>
          <w:sz w:val="32"/>
          <w:szCs w:val="32"/>
        </w:rPr>
        <w:t>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2484CB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3A768286">
      <w:pPr>
        <w:keepNext w:val="0"/>
        <w:keepLines w:val="0"/>
        <w:pageBreakBefore w:val="0"/>
        <w:numPr>
          <w:ilvl w:val="0"/>
          <w:numId w:val="1"/>
        </w:numPr>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个工作日内将律师服务费全额转入律师事务所账户。</w:t>
      </w:r>
    </w:p>
    <w:p w14:paraId="05A49B4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除律师服务费、代委托人支付的费用、异地办案差旅费外，不得以任何名义向委托人收取其他费用。</w:t>
      </w:r>
    </w:p>
    <w:p w14:paraId="014B8A26">
      <w:pPr>
        <w:keepNext w:val="0"/>
        <w:keepLines w:val="0"/>
        <w:pageBreakBefore w:val="0"/>
        <w:numPr>
          <w:ilvl w:val="0"/>
          <w:numId w:val="1"/>
        </w:numPr>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律师服务费由律师事务所依约定收取并据实开具律师服务费发票，代委托人支付的费用及非包干异地办案差旅费应当提供有效凭证。</w:t>
      </w:r>
    </w:p>
    <w:p w14:paraId="3D30C830">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B05C5D6">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8923FA5">
      <w:pPr>
        <w:keepNext w:val="0"/>
        <w:keepLines w:val="0"/>
        <w:pageBreakBefore w:val="0"/>
        <w:numPr>
          <w:ilvl w:val="0"/>
          <w:numId w:val="1"/>
        </w:numPr>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780BB06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sz w:val="32"/>
          <w:szCs w:val="32"/>
        </w:rPr>
        <w:t xml:space="preserve"> </w:t>
      </w:r>
      <w:r>
        <w:rPr>
          <w:rFonts w:ascii="Times New Roman" w:hAnsi="仿宋" w:eastAsia="仿宋" w:cs="Times New Roman"/>
          <w:sz w:val="32"/>
          <w:szCs w:val="32"/>
        </w:rPr>
        <w:t>选择计件收费的，原则上按下列标准范围与委托人商定：</w:t>
      </w:r>
    </w:p>
    <w:p w14:paraId="1189CE3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—15</w:t>
      </w:r>
      <w:r>
        <w:rPr>
          <w:rFonts w:ascii="Times New Roman" w:hAnsi="仿宋" w:eastAsia="仿宋" w:cs="Times New Roman"/>
          <w:sz w:val="32"/>
          <w:szCs w:val="32"/>
        </w:rPr>
        <w:t>万元。</w:t>
      </w:r>
    </w:p>
    <w:p w14:paraId="18286B0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F94D5D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—60</w:t>
      </w:r>
      <w:r>
        <w:rPr>
          <w:rFonts w:ascii="Times New Roman" w:hAnsi="仿宋" w:eastAsia="仿宋" w:cs="Times New Roman"/>
          <w:sz w:val="32"/>
          <w:szCs w:val="32"/>
        </w:rPr>
        <w:t>万元。</w:t>
      </w:r>
    </w:p>
    <w:p w14:paraId="1F2A5A9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—70</w:t>
      </w:r>
      <w:r>
        <w:rPr>
          <w:rFonts w:ascii="Times New Roman" w:hAnsi="仿宋" w:eastAsia="仿宋" w:cs="Times New Roman"/>
          <w:sz w:val="32"/>
          <w:szCs w:val="32"/>
        </w:rPr>
        <w:t>万元。</w:t>
      </w:r>
    </w:p>
    <w:p w14:paraId="15604E4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w:t>
      </w:r>
    </w:p>
    <w:p w14:paraId="7B4E964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计费工作时间是律师办理委托事项的有效工作时间，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AECE8F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0C3D369B">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12FE50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p>
    <w:p w14:paraId="6DD970F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10%-15%</w:t>
      </w:r>
      <w:r>
        <w:rPr>
          <w:rFonts w:ascii="Times New Roman" w:hAnsi="仿宋" w:eastAsia="仿宋" w:cs="Times New Roman"/>
          <w:sz w:val="32"/>
          <w:szCs w:val="32"/>
        </w:rPr>
        <w:t>，最低不少于</w:t>
      </w:r>
      <w:r>
        <w:rPr>
          <w:rFonts w:ascii="Times New Roman" w:hAnsi="Times New Roman" w:eastAsia="仿宋" w:cs="Times New Roman"/>
          <w:sz w:val="32"/>
          <w:szCs w:val="32"/>
        </w:rPr>
        <w:t>10000</w:t>
      </w:r>
      <w:r>
        <w:rPr>
          <w:rFonts w:ascii="Times New Roman" w:hAnsi="仿宋" w:eastAsia="仿宋" w:cs="Times New Roman"/>
          <w:sz w:val="32"/>
          <w:szCs w:val="32"/>
        </w:rPr>
        <w:t>元；</w:t>
      </w:r>
    </w:p>
    <w:p w14:paraId="14A6BAD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5%-10%</w:t>
      </w:r>
      <w:r>
        <w:rPr>
          <w:rFonts w:ascii="Times New Roman" w:hAnsi="仿宋" w:eastAsia="仿宋" w:cs="Times New Roman"/>
          <w:sz w:val="32"/>
          <w:szCs w:val="32"/>
        </w:rPr>
        <w:t>；</w:t>
      </w:r>
    </w:p>
    <w:p w14:paraId="0594939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r>
        <w:rPr>
          <w:rFonts w:ascii="Times New Roman" w:hAnsi="仿宋" w:eastAsia="仿宋" w:cs="Times New Roman"/>
          <w:sz w:val="32"/>
          <w:szCs w:val="32"/>
        </w:rPr>
        <w:t>；</w:t>
      </w:r>
    </w:p>
    <w:p w14:paraId="66BE7B9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2%-3%</w:t>
      </w:r>
      <w:r>
        <w:rPr>
          <w:rFonts w:ascii="Times New Roman" w:hAnsi="仿宋" w:eastAsia="仿宋" w:cs="Times New Roman"/>
          <w:sz w:val="32"/>
          <w:szCs w:val="32"/>
        </w:rPr>
        <w:t>。</w:t>
      </w:r>
    </w:p>
    <w:p w14:paraId="337BE3F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第二审及以后阶段的，可以给予比照第一阶段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的优惠。同时代理本诉、本请求和反诉、反请求案件的，反诉、反请求按标的额以民事诉讼案件一审阶段的收费标准酌减收费，除收取本诉的代理费外，反诉部分按照不超过本诉标准的</w:t>
      </w:r>
      <w:r>
        <w:rPr>
          <w:rFonts w:ascii="Times New Roman" w:hAnsi="Times New Roman" w:eastAsia="仿宋" w:cs="Times New Roman"/>
          <w:sz w:val="32"/>
          <w:szCs w:val="32"/>
        </w:rPr>
        <w:t>50%</w:t>
      </w:r>
      <w:r>
        <w:rPr>
          <w:rFonts w:ascii="Times New Roman" w:hAnsi="仿宋" w:eastAsia="仿宋" w:cs="Times New Roman"/>
          <w:sz w:val="32"/>
          <w:szCs w:val="32"/>
        </w:rPr>
        <w:t>收取代理费。</w:t>
      </w:r>
    </w:p>
    <w:p w14:paraId="0CA1FB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第十四条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投融资、上市、并购、重组、改制、破产、清算、公司设立、公司治理结构设计、股权及债权债务转让等，参照第十二条标准收费，国家如有相关规定的从其规定予以收费。</w:t>
      </w:r>
    </w:p>
    <w:p w14:paraId="1D81BC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第十五条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单独承办的执行案件，根据执行标的额，按一审阶段标准收费；曾承办一审或二审的案件，可按一审阶段收费标准优惠</w:t>
      </w:r>
      <w:r>
        <w:rPr>
          <w:rFonts w:ascii="Times New Roman" w:hAnsi="Times New Roman" w:eastAsia="仿宋" w:cs="Times New Roman"/>
          <w:kern w:val="2"/>
          <w:sz w:val="32"/>
          <w:szCs w:val="32"/>
        </w:rPr>
        <w:t>30%-50%</w:t>
      </w:r>
      <w:r>
        <w:rPr>
          <w:rFonts w:ascii="Times New Roman" w:hAnsi="仿宋" w:eastAsia="仿宋" w:cs="Times New Roman"/>
          <w:kern w:val="2"/>
          <w:sz w:val="32"/>
          <w:szCs w:val="32"/>
        </w:rPr>
        <w:t>收费，代理执行案件也可采用风险代理或计时收费，不能采用风险代理的案件除外。</w:t>
      </w:r>
    </w:p>
    <w:p w14:paraId="1ACC3539">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0A375C6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风险代理各个环节、各阶段（如一审阶段、二审阶段、再审阶段或申诉阶段、执行阶段）收取的律师服务费合计最高金额应当符合下列标准：</w:t>
      </w:r>
    </w:p>
    <w:p w14:paraId="5AE5603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10%-18%</w:t>
      </w:r>
      <w:r>
        <w:rPr>
          <w:rFonts w:ascii="Times New Roman" w:hAnsi="仿宋" w:eastAsia="仿宋" w:cs="Times New Roman"/>
          <w:sz w:val="32"/>
          <w:szCs w:val="32"/>
        </w:rPr>
        <w:t>计算；</w:t>
      </w:r>
    </w:p>
    <w:p w14:paraId="15601D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 xml:space="preserve"> 10%-15%</w:t>
      </w:r>
      <w:r>
        <w:rPr>
          <w:rFonts w:ascii="Times New Roman" w:hAnsi="仿宋" w:eastAsia="仿宋" w:cs="Times New Roman"/>
          <w:sz w:val="32"/>
          <w:szCs w:val="32"/>
        </w:rPr>
        <w:t>计算；</w:t>
      </w:r>
    </w:p>
    <w:p w14:paraId="36523F4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8%-12%</w:t>
      </w:r>
      <w:r>
        <w:rPr>
          <w:rFonts w:ascii="Times New Roman" w:hAnsi="仿宋" w:eastAsia="仿宋" w:cs="Times New Roman"/>
          <w:sz w:val="32"/>
          <w:szCs w:val="32"/>
        </w:rPr>
        <w:t>计算；</w:t>
      </w:r>
    </w:p>
    <w:p w14:paraId="350BFF5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6%-9%</w:t>
      </w:r>
      <w:r>
        <w:rPr>
          <w:rFonts w:ascii="Times New Roman" w:hAnsi="仿宋" w:eastAsia="仿宋" w:cs="Times New Roman"/>
          <w:sz w:val="32"/>
          <w:szCs w:val="32"/>
        </w:rPr>
        <w:t>计算；</w:t>
      </w:r>
    </w:p>
    <w:p w14:paraId="03DB556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5%-6%</w:t>
      </w:r>
      <w:r>
        <w:rPr>
          <w:rFonts w:ascii="Times New Roman" w:hAnsi="仿宋" w:eastAsia="仿宋" w:cs="Times New Roman"/>
          <w:sz w:val="32"/>
          <w:szCs w:val="32"/>
        </w:rPr>
        <w:t>计算。</w:t>
      </w:r>
    </w:p>
    <w:p w14:paraId="4DADF15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48652A5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1DE313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p>
    <w:p w14:paraId="0D9973C5">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29BDA07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9B0B21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刑事诉讼案件；</w:t>
      </w:r>
    </w:p>
    <w:p w14:paraId="38FDB17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行政诉讼案件；</w:t>
      </w:r>
    </w:p>
    <w:p w14:paraId="2FEA971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国家赔偿案件；</w:t>
      </w:r>
    </w:p>
    <w:p w14:paraId="4FB8D52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群体性诉讼案件；</w:t>
      </w:r>
    </w:p>
    <w:p w14:paraId="6893752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w:t>
      </w:r>
      <w:r>
        <w:rPr>
          <w:rFonts w:ascii="Times New Roman" w:hAnsi="仿宋" w:eastAsia="仿宋" w:cs="Times New Roman"/>
          <w:sz w:val="32"/>
          <w:szCs w:val="32"/>
        </w:rPr>
        <w:t>婚姻继承案件；</w:t>
      </w:r>
    </w:p>
    <w:p w14:paraId="51E3B81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w:t>
      </w:r>
      <w:r>
        <w:rPr>
          <w:rFonts w:ascii="Times New Roman" w:hAnsi="仿宋" w:eastAsia="仿宋" w:cs="Times New Roman"/>
          <w:sz w:val="32"/>
          <w:szCs w:val="32"/>
        </w:rPr>
        <w:t>请求给予社会保险待遇、最低生活保障待遇、赡养费、抚养费、扶养费、抚恤金、救济金、工伤赔偿、劳动报酬的案件。</w:t>
      </w:r>
    </w:p>
    <w:p w14:paraId="3C9A8C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6C0F2C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4FB6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E7AE2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0902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C002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6D073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35DBA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2F84AD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7B90E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0673D7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2A4944F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7D4155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6ECEDB6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3D412D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4DB875C3">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645C5E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1C3F53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5DD6046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0D5E5A7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3C764C1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42D81F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1FE5F24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761C824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6125F69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604FB9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550FB8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2AE7F4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倍收费，亦可按本收费标准进行风险代理或者计时收费。</w:t>
      </w:r>
    </w:p>
    <w:p w14:paraId="2915FC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340FC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B26FF0F">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倍收费。</w:t>
      </w:r>
    </w:p>
    <w:p w14:paraId="7B7E7AE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F8AB1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AFEC49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299A83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759A6D2D">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B013AB2">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2010479D">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5A491128">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500EFE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74F0F32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3D463D0B">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793EAEC3">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6A0B5139">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01E5614">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D8BE">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54158F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D59FA"/>
    <w:multiLevelType w:val="singleLevel"/>
    <w:tmpl w:val="9DDD59FA"/>
    <w:lvl w:ilvl="0" w:tentative="0">
      <w:start w:val="4"/>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2351D"/>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03F3E"/>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35FF0"/>
    <w:rsid w:val="009928C2"/>
    <w:rsid w:val="009B0D09"/>
    <w:rsid w:val="009B2BF1"/>
    <w:rsid w:val="009C08AA"/>
    <w:rsid w:val="00A40DB8"/>
    <w:rsid w:val="00A5775E"/>
    <w:rsid w:val="00A75AA1"/>
    <w:rsid w:val="00B718AA"/>
    <w:rsid w:val="00BB26EC"/>
    <w:rsid w:val="00BF6BC4"/>
    <w:rsid w:val="00C31312"/>
    <w:rsid w:val="00C42A1D"/>
    <w:rsid w:val="00C50F3B"/>
    <w:rsid w:val="00CB26F6"/>
    <w:rsid w:val="00CE1660"/>
    <w:rsid w:val="00CF1993"/>
    <w:rsid w:val="00D0276C"/>
    <w:rsid w:val="00D23FC9"/>
    <w:rsid w:val="00D246FF"/>
    <w:rsid w:val="00D40349"/>
    <w:rsid w:val="00D94AA5"/>
    <w:rsid w:val="00DB797F"/>
    <w:rsid w:val="00DC11B8"/>
    <w:rsid w:val="00E038DD"/>
    <w:rsid w:val="00E53727"/>
    <w:rsid w:val="00E64635"/>
    <w:rsid w:val="00E7708B"/>
    <w:rsid w:val="00EA5D3A"/>
    <w:rsid w:val="00EF32BA"/>
    <w:rsid w:val="00F46551"/>
    <w:rsid w:val="00F618B6"/>
    <w:rsid w:val="00F73074"/>
    <w:rsid w:val="00FB0721"/>
    <w:rsid w:val="00FE2E7F"/>
    <w:rsid w:val="2441165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4741</Words>
  <Characters>4924</Characters>
  <Lines>36</Lines>
  <Paragraphs>10</Paragraphs>
  <TotalTime>1</TotalTime>
  <ScaleCrop>false</ScaleCrop>
  <LinksUpToDate>false</LinksUpToDate>
  <CharactersWithSpaces>4995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2025-05-23T03:47:35Z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