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B3AD77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及第（德阳）律师事务所提交的《四川及第（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34201D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8F884A7">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四川及第（德阳）律师事务所律师服务收费标准</w:t>
      </w:r>
    </w:p>
    <w:p w14:paraId="618896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5B2A28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75A02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w:t>
      </w:r>
      <w:bookmarkStart w:id="1" w:name="_GoBack"/>
      <w:bookmarkEnd w:id="1"/>
      <w:r>
        <w:rPr>
          <w:rFonts w:ascii="Times New Roman" w:hAnsi="仿宋" w:eastAsia="仿宋" w:cs="Times New Roman"/>
          <w:sz w:val="32"/>
          <w:szCs w:val="32"/>
        </w:rPr>
        <w:t>合法律事务复杂程度、工作时长、参与人数、执业经验、风险责任、涉诉标的额等情况，根据本收费标准由委托人与律师自愿平等协商，公平合理地确定收费方式和收费金额。</w:t>
      </w:r>
    </w:p>
    <w:p w14:paraId="52408E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C7237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21E984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8E841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36C247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08E173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1EEFC6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B9835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185317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17EAE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6BA76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490E1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C9312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7BDDC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2815C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36D827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3DA9B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7B63AA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EF92A3E">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2C57FD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BB825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016455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D1BCB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7D22F8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38ADEE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6875D1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5A0C06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325A918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w:t>
      </w:r>
      <w:r>
        <w:rPr>
          <w:rFonts w:ascii="Times New Roman" w:hAnsi="仿宋" w:eastAsia="仿宋" w:cs="Times New Roman"/>
          <w:color w:val="000000"/>
          <w:sz w:val="32"/>
          <w:szCs w:val="32"/>
        </w:rPr>
        <w:t>可以给予下浮不超过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的优惠。同时代理本诉、本请求和反诉、反请求案件的，反诉、反请求按标的额以民事诉讼案件一审阶段的收费标准酌减收费，可以给予下浮不超过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的优惠</w:t>
      </w:r>
      <w:r>
        <w:rPr>
          <w:rFonts w:ascii="Times New Roman" w:hAnsi="Times New Roman" w:eastAsia="仿宋" w:cs="Times New Roman"/>
          <w:color w:val="000000"/>
          <w:sz w:val="32"/>
          <w:szCs w:val="32"/>
        </w:rPr>
        <w:t>.</w:t>
      </w:r>
    </w:p>
    <w:p w14:paraId="5E4AC9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投融资、上市、并购、重组、改制、破产、清算、公司设立、公司治理结构设计、股权及债权债务转让等，参照第十二条标准收费，国家如有相关规定的从其规定予以收费。</w:t>
      </w:r>
    </w:p>
    <w:p w14:paraId="28870C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第十五条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sz w:val="32"/>
          <w:szCs w:val="32"/>
        </w:rPr>
        <w:t>50%-80%</w:t>
      </w:r>
      <w:r>
        <w:rPr>
          <w:rFonts w:ascii="Times New Roman" w:hAnsi="仿宋" w:eastAsia="仿宋" w:cs="Times New Roman"/>
          <w:color w:val="000000"/>
          <w:sz w:val="32"/>
          <w:szCs w:val="32"/>
        </w:rPr>
        <w:t>收费，代理执行案件也可采用风险代理或计时收费</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不能采用风险代理的案件除外。</w:t>
      </w:r>
    </w:p>
    <w:p w14:paraId="0A819C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第三节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涉及财产关系的风险代理收费</w:t>
      </w:r>
    </w:p>
    <w:p w14:paraId="09581A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风险代理各个环节收取的律师服务费合计最高金额应当符合下列标准：</w:t>
      </w:r>
    </w:p>
    <w:p w14:paraId="2F9CA4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（一）标的额不足人民币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8%-18%</w:t>
      </w:r>
      <w:r>
        <w:rPr>
          <w:rFonts w:ascii="Times New Roman" w:hAnsi="仿宋" w:eastAsia="仿宋" w:cs="Times New Roman"/>
          <w:color w:val="000000"/>
          <w:sz w:val="32"/>
          <w:szCs w:val="32"/>
        </w:rPr>
        <w:t>计算；</w:t>
      </w:r>
    </w:p>
    <w:p w14:paraId="1F99FF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（二）标的额在人民币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7%-15%</w:t>
      </w:r>
      <w:r>
        <w:rPr>
          <w:rFonts w:ascii="Times New Roman" w:hAnsi="仿宋" w:eastAsia="仿宋" w:cs="Times New Roman"/>
          <w:color w:val="000000"/>
          <w:sz w:val="32"/>
          <w:szCs w:val="32"/>
        </w:rPr>
        <w:t>计算；</w:t>
      </w:r>
    </w:p>
    <w:p w14:paraId="067DD8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（三）标的额在人民币</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6%-12%</w:t>
      </w:r>
      <w:r>
        <w:rPr>
          <w:rFonts w:ascii="Times New Roman" w:hAnsi="仿宋" w:eastAsia="仿宋" w:cs="Times New Roman"/>
          <w:color w:val="000000"/>
          <w:sz w:val="32"/>
          <w:szCs w:val="32"/>
        </w:rPr>
        <w:t>计算；</w:t>
      </w:r>
    </w:p>
    <w:p w14:paraId="5A9E26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（四）标的额在人民币</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5%-9%</w:t>
      </w:r>
      <w:r>
        <w:rPr>
          <w:rFonts w:ascii="Times New Roman" w:hAnsi="仿宋" w:eastAsia="仿宋" w:cs="Times New Roman"/>
          <w:color w:val="000000"/>
          <w:sz w:val="32"/>
          <w:szCs w:val="32"/>
        </w:rPr>
        <w:t>计算；</w:t>
      </w:r>
    </w:p>
    <w:p w14:paraId="061D0A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（五）标的额在人民币</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万元以上的部分，按</w:t>
      </w:r>
      <w:r>
        <w:rPr>
          <w:rFonts w:ascii="Times New Roman" w:hAnsi="Times New Roman" w:eastAsia="仿宋" w:cs="Times New Roman"/>
          <w:color w:val="000000"/>
          <w:sz w:val="32"/>
          <w:szCs w:val="32"/>
        </w:rPr>
        <w:t>4%-6%</w:t>
      </w:r>
      <w:r>
        <w:rPr>
          <w:rFonts w:ascii="Times New Roman" w:hAnsi="仿宋" w:eastAsia="仿宋" w:cs="Times New Roman"/>
          <w:color w:val="000000"/>
          <w:sz w:val="32"/>
          <w:szCs w:val="32"/>
        </w:rPr>
        <w:t>计算。</w:t>
      </w:r>
    </w:p>
    <w:p w14:paraId="64D2ED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515DA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第十七条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27B76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在订立风险代理合同过程中，律师或律师事务所应当按相关规定向委托人履行提示义务和告知义务</w:t>
      </w:r>
      <w:r>
        <w:rPr>
          <w:rFonts w:ascii="Times New Roman" w:hAnsi="仿宋" w:eastAsia="仿宋" w:cs="Times New Roman"/>
          <w:color w:val="000000"/>
          <w:kern w:val="2"/>
          <w:sz w:val="32"/>
          <w:szCs w:val="32"/>
        </w:rPr>
        <w:t>。</w:t>
      </w:r>
    </w:p>
    <w:p w14:paraId="4AF1AA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第四节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不能采取风险代理收费</w:t>
      </w:r>
    </w:p>
    <w:p w14:paraId="27F9F0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第十八条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下列案件不能采取或变相采取风险代理收费方式：</w:t>
      </w:r>
    </w:p>
    <w:p w14:paraId="178F4A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（一）刑事诉讼案件；</w:t>
      </w:r>
    </w:p>
    <w:p w14:paraId="2E8507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（二）行政诉讼案件；</w:t>
      </w:r>
    </w:p>
    <w:p w14:paraId="34576B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（三）国家赔偿案件；</w:t>
      </w:r>
    </w:p>
    <w:p w14:paraId="751F97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（四）群体性诉讼案件；</w:t>
      </w:r>
    </w:p>
    <w:p w14:paraId="617095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（五）婚姻继承案件；</w:t>
      </w:r>
    </w:p>
    <w:p w14:paraId="5F07CE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color w:val="000000"/>
          <w:sz w:val="32"/>
          <w:szCs w:val="32"/>
        </w:rPr>
        <w:t>（六）请求给予社会保险待遇、最低生活保障待遇、赡养费、抚养费、扶养费、抚恤金、救济金、工伤赔偿、劳动报酬的案件。</w:t>
      </w:r>
    </w:p>
    <w:p w14:paraId="62C7D0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66023E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侦查阶段：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5E2AA1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审查起诉阶段：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6100F0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一审阶段：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1D40D4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二审阶段：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041EA8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发回重审（一审阶段）：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6C0163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发回重审（二审阶段）：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115F15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代为提起刑事申诉：</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27E1FCF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再审案件（一审阶段）：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362C75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w:t>
      </w:r>
      <w:r>
        <w:rPr>
          <w:rFonts w:ascii="Times New Roman" w:hAnsi="仿宋" w:eastAsia="仿宋" w:cs="Times New Roman"/>
          <w:color w:val="000000"/>
          <w:sz w:val="32"/>
          <w:szCs w:val="32"/>
        </w:rPr>
        <w:t>再审案件（二审阶段）：</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74BE028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担任刑事案件自诉人、被害人的代理人：</w:t>
      </w:r>
      <w:r>
        <w:rPr>
          <w:rFonts w:ascii="Times New Roman" w:hAnsi="Times New Roman" w:eastAsia="仿宋" w:cs="Times New Roman"/>
          <w:color w:val="000000"/>
          <w:sz w:val="32"/>
          <w:szCs w:val="32"/>
        </w:rPr>
        <w:t>0.5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-1.5</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00E0BA9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刑事附带民事案件的律师费用参照本标准中民事诉讼收费标准予以收取。</w:t>
      </w:r>
    </w:p>
    <w:p w14:paraId="3132F1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不能采取或变相采取风险代理收费的（二）至（六）项参照本标准中民事诉讼收费标准予以收取。</w:t>
      </w:r>
    </w:p>
    <w:p w14:paraId="0DE70FD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第二十一条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代理国家赔偿案件可实行计件收费，每件收取</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千元</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56B76A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代理行政诉讼一审、二审、发回重审、复议、听证、申诉等案件的收费标准，参照本收费标准执行，但不得适用风险代理收费。</w:t>
      </w:r>
    </w:p>
    <w:p w14:paraId="0A6C7A93">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第三章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上浮收费标准</w:t>
      </w:r>
    </w:p>
    <w:p w14:paraId="7E3790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第二十三条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倍收费。</w:t>
      </w:r>
    </w:p>
    <w:p w14:paraId="2048FD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涉外（含涉港、澳、台）案件的收费标准，原则上按照本收费标准执行。如果涉及到多语种法律服务的，可以在标准基础上再上浮不超过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倍收费。经委托人同意，也可以由本所参照外国或港、澳、台地区律师事务所驻我国代表机构办理同类法律事务的收费标准，与委托人协商确定收费数额。</w:t>
      </w:r>
    </w:p>
    <w:p w14:paraId="2C800D8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第二十五条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倍收费。下列案件为重大、疑难、复杂民事诉讼、仲裁案件：</w:t>
      </w:r>
    </w:p>
    <w:p w14:paraId="0B4976A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由中级以上人民法院受理一审的案件；</w:t>
      </w:r>
    </w:p>
    <w:p w14:paraId="59871B7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当事人一方人数在</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人及</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人以上的共同诉讼案件；</w:t>
      </w:r>
    </w:p>
    <w:p w14:paraId="5185B5D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知识产权纠纷案、不正当竞争纠纷案、商誉权、名誉权纠纷等案件；</w:t>
      </w:r>
    </w:p>
    <w:p w14:paraId="250FD32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取证困难的案件；</w:t>
      </w:r>
    </w:p>
    <w:p w14:paraId="19FAF12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新类型案件；</w:t>
      </w:r>
    </w:p>
    <w:p w14:paraId="2F61630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涉及两个以上法律关系的案件；</w:t>
      </w:r>
    </w:p>
    <w:p w14:paraId="0417F4F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涉及专业知识，需要聘请具备非法律专业知识的人员协助方能办理的案件；</w:t>
      </w:r>
    </w:p>
    <w:p w14:paraId="4B31E20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其他经本所与委托人协商，双方认为属于重大、疑难、复杂的民事诉讼、仲裁案件。</w:t>
      </w:r>
    </w:p>
    <w:p w14:paraId="619E27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代理民事申诉案件，按照代理民事诉讼案件按一审阶段收费标准收费；重大、疑难、复杂及律师工作量大的民事申诉案件可以上浮不超过</w:t>
      </w:r>
      <w:r>
        <w:rPr>
          <w:rFonts w:ascii="Times New Roman" w:hAnsi="Times New Roman" w:eastAsia="仿宋" w:cs="Times New Roman"/>
          <w:color w:val="000000"/>
          <w:sz w:val="32"/>
          <w:szCs w:val="32"/>
        </w:rPr>
        <w:t>1.5</w:t>
      </w:r>
      <w:r>
        <w:rPr>
          <w:rFonts w:ascii="Times New Roman" w:hAnsi="仿宋" w:eastAsia="仿宋" w:cs="Times New Roman"/>
          <w:color w:val="000000"/>
          <w:sz w:val="32"/>
          <w:szCs w:val="32"/>
        </w:rPr>
        <w:t>倍收费，亦可按本收费标准进行风险代理或者计时收费，不能采用风险代理代理的案件除外。</w:t>
      </w:r>
    </w:p>
    <w:p w14:paraId="0452FA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单独承办执行案件，如执行难度大，执行程序复杂的重大执行案件，按一审阶段收费标准收费。</w:t>
      </w:r>
    </w:p>
    <w:p w14:paraId="466C30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办理异地、重大、疑难、复杂、社会影响较大的刑事诉讼案件，可以在本收费标准中刑事收费标准基础</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倍之内</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含</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协商确定收费。</w:t>
      </w:r>
    </w:p>
    <w:p w14:paraId="70BD507B">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第二十九条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kern w:val="0"/>
          <w:sz w:val="32"/>
          <w:szCs w:val="32"/>
        </w:rPr>
        <w:t>50%</w:t>
      </w:r>
      <w:r>
        <w:rPr>
          <w:rFonts w:ascii="Times New Roman" w:hAnsi="仿宋" w:eastAsia="仿宋" w:cs="Times New Roman"/>
          <w:color w:val="000000"/>
          <w:kern w:val="0"/>
          <w:sz w:val="32"/>
          <w:szCs w:val="32"/>
        </w:rPr>
        <w:t>至</w:t>
      </w:r>
      <w:r>
        <w:rPr>
          <w:rFonts w:ascii="Times New Roman" w:hAnsi="Times New Roman" w:eastAsia="仿宋" w:cs="Times New Roman"/>
          <w:color w:val="000000"/>
          <w:kern w:val="0"/>
          <w:sz w:val="32"/>
          <w:szCs w:val="32"/>
        </w:rPr>
        <w:t>5</w:t>
      </w:r>
      <w:r>
        <w:rPr>
          <w:rFonts w:ascii="Times New Roman" w:hAnsi="仿宋" w:eastAsia="仿宋" w:cs="Times New Roman"/>
          <w:color w:val="000000"/>
          <w:kern w:val="0"/>
          <w:sz w:val="32"/>
          <w:szCs w:val="32"/>
        </w:rPr>
        <w:t>倍收费。</w:t>
      </w:r>
    </w:p>
    <w:p w14:paraId="4E64689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color w:val="000000"/>
          <w:sz w:val="32"/>
          <w:szCs w:val="32"/>
        </w:rPr>
      </w:pPr>
      <w:r>
        <w:rPr>
          <w:rFonts w:ascii="Times New Roman" w:hAnsi="黑体" w:eastAsia="黑体" w:cs="Times New Roman"/>
          <w:bCs/>
          <w:color w:val="000000"/>
          <w:sz w:val="32"/>
          <w:szCs w:val="32"/>
        </w:rPr>
        <w:t>第四章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其他说明</w:t>
      </w:r>
    </w:p>
    <w:p w14:paraId="6F4FC1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第三十条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其他收费方式根据委托事项的实际情况，由律师与委托人协商一致，由律师事务所与委托人在律师服务收费合同或者在委托代理合同中确定，但不得违反国家、省相关文件的规定。</w:t>
      </w:r>
    </w:p>
    <w:p w14:paraId="43359F2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0C5F27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对办理涉及农民工、残疾人等弱势群体或者与公益活动有关的法律服务事项，可以酌情减免律师服务费。</w:t>
      </w:r>
    </w:p>
    <w:p w14:paraId="0E460EB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律师接受指派的法律援助案件，不得向受援人收取任何费用。</w:t>
      </w:r>
    </w:p>
    <w:p w14:paraId="4F2A15B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律师在办理委托事项过程中，如发现委托人符合法律援助条件的，应告知委托人可以申请法律援助。</w:t>
      </w:r>
    </w:p>
    <w:p w14:paraId="2A642C2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450BC70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第五章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附则</w:t>
      </w:r>
    </w:p>
    <w:p w14:paraId="7665C9D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kern w:val="0"/>
          <w:sz w:val="32"/>
          <w:szCs w:val="32"/>
        </w:rPr>
      </w:pPr>
      <w:r>
        <w:rPr>
          <w:rFonts w:ascii="Times New Roman" w:hAnsi="仿宋" w:eastAsia="仿宋" w:cs="Times New Roman"/>
          <w:b/>
          <w:bCs/>
          <w:color w:val="000000"/>
          <w:kern w:val="0"/>
          <w:sz w:val="32"/>
          <w:szCs w:val="32"/>
        </w:rPr>
        <w:t>第三十五条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本收费标准应当按照相关规定予以备案，并在所内以公开方式公布已备案的律师服务收费标准，律师事务所全体律师严格遵照执行，并接受社会监督。</w:t>
      </w:r>
    </w:p>
    <w:p w14:paraId="2978C18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color w:val="000000"/>
          <w:kern w:val="0"/>
          <w:sz w:val="32"/>
          <w:szCs w:val="32"/>
        </w:rPr>
        <w:t>第三十六条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本收费标准按照规定在德阳市律师协会同意备案后生效。</w:t>
      </w:r>
    </w:p>
    <w:p w14:paraId="0009997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118819B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3960D6E5">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D7671E8">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1E22">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9A37E6">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90B98"/>
    <w:rsid w:val="003B4A86"/>
    <w:rsid w:val="003D5AA7"/>
    <w:rsid w:val="00404C3D"/>
    <w:rsid w:val="004128C2"/>
    <w:rsid w:val="004B21E5"/>
    <w:rsid w:val="004C268B"/>
    <w:rsid w:val="004D1774"/>
    <w:rsid w:val="004D70C4"/>
    <w:rsid w:val="004E25E2"/>
    <w:rsid w:val="005245C8"/>
    <w:rsid w:val="00557E26"/>
    <w:rsid w:val="00567584"/>
    <w:rsid w:val="00677DBB"/>
    <w:rsid w:val="006C311F"/>
    <w:rsid w:val="006C6CD7"/>
    <w:rsid w:val="006D6BB3"/>
    <w:rsid w:val="00751D1A"/>
    <w:rsid w:val="0075550F"/>
    <w:rsid w:val="007752D3"/>
    <w:rsid w:val="007B2EEE"/>
    <w:rsid w:val="007D09B9"/>
    <w:rsid w:val="007F264D"/>
    <w:rsid w:val="008542A3"/>
    <w:rsid w:val="00892619"/>
    <w:rsid w:val="008C65AC"/>
    <w:rsid w:val="00912D78"/>
    <w:rsid w:val="00915DD7"/>
    <w:rsid w:val="009928C2"/>
    <w:rsid w:val="009B0D09"/>
    <w:rsid w:val="009B2BF1"/>
    <w:rsid w:val="009C08AA"/>
    <w:rsid w:val="00A40DB8"/>
    <w:rsid w:val="00A5775E"/>
    <w:rsid w:val="00A75AA1"/>
    <w:rsid w:val="00B43A1D"/>
    <w:rsid w:val="00B718AA"/>
    <w:rsid w:val="00BB26EC"/>
    <w:rsid w:val="00BF6BC4"/>
    <w:rsid w:val="00C31312"/>
    <w:rsid w:val="00C42A1D"/>
    <w:rsid w:val="00C826CD"/>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396664A7"/>
    <w:rsid w:val="39C77D3B"/>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4757</Words>
  <Characters>4948</Characters>
  <Lines>36</Lines>
  <Paragraphs>10</Paragraphs>
  <TotalTime>7</TotalTime>
  <ScaleCrop>false</ScaleCrop>
  <LinksUpToDate>false</LinksUpToDate>
  <CharactersWithSpaces>5023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2025-05-23T03:21:06Z</cp:lastPrinted>
  <dcterms:modified xsi:type="dcterms:W3CDTF">2025-05-23T03:28:25Z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