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56EB1A8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号）及省上相关规定，本会对四川凯晴律师事务所提交的《四川凯晴律师事务所律师服务收费标准》已审查完毕，相关内容符合相关规定，本会同意备案人的备案申请，该收费标准自备案之日起至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9171C9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F60FF12">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四川凯晴律师事务所律师服务收费标准</w:t>
      </w:r>
    </w:p>
    <w:p w14:paraId="7031BF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48B22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第一条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根据国家、省相关法律法规及规范性文件规定和要求，并结合本市、本所实际情况制定本收费标准。</w:t>
      </w:r>
    </w:p>
    <w:p w14:paraId="3C6041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本收费标准遵循公开公平、平等自愿、诚实信用的基本原则。结合法律事务复杂程度、工作时长、参与人数、执业经验、风险责任、涉诉标的额等情况，根据本收费标准由委托人与律师事务所自愿平等协商，公平合理地确定收费方式和收费金额。</w:t>
      </w:r>
    </w:p>
    <w:p w14:paraId="3A28B5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sz w:val="32"/>
          <w:szCs w:val="32"/>
        </w:rPr>
        <w:t>第三条</w:t>
      </w:r>
      <w:r>
        <w:rPr>
          <w:rFonts w:ascii="Times New Roman" w:hAnsi="仿宋" w:eastAsia="仿宋" w:cs="Times New Roman"/>
          <w:color w:val="000000" w:themeColor="text1"/>
          <w:sz w:val="32"/>
          <w:szCs w:val="32"/>
        </w:rPr>
        <w:t>律师服务费是</w:t>
      </w:r>
      <w:r>
        <w:rPr>
          <w:rFonts w:ascii="Times New Roman" w:hAnsi="仿宋" w:eastAsia="仿宋" w:cs="Times New Roman"/>
          <w:color w:val="000000" w:themeColor="text1"/>
          <w:kern w:val="2"/>
          <w:sz w:val="32"/>
          <w:szCs w:val="32"/>
        </w:rPr>
        <w:t>律师事务所接受委托办理法律事务，向委托人收取服务报酬的行为。</w:t>
      </w:r>
    </w:p>
    <w:p w14:paraId="3AB18D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律师办理委托事项过程中发生的诉讼费、仲裁费、鉴定费、公证费、异地办案差旅费、专家论证费等费用，以及律师事务所代委托人支付的其他费用，由委托人另行支付。</w:t>
      </w:r>
    </w:p>
    <w:p w14:paraId="4451E9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本所就下列委托事项收取律师服务费</w:t>
      </w:r>
      <w:r>
        <w:rPr>
          <w:rFonts w:ascii="Times New Roman" w:hAnsi="Times New Roman" w:eastAsia="仿宋" w:cs="Times New Roman"/>
          <w:color w:val="000000" w:themeColor="text1"/>
          <w:sz w:val="32"/>
          <w:szCs w:val="32"/>
        </w:rPr>
        <w:t>:</w:t>
      </w:r>
    </w:p>
    <w:p w14:paraId="5BCFF6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（一）代理各类案件担任代理人、辩护人，起草相关法律文书，开展各类专项法律服务，担任法律顾问，接受法律咨询等法律业务。</w:t>
      </w:r>
    </w:p>
    <w:p w14:paraId="02B1DE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（二）律师从事其它与法律服务及法律培训相关的事务。</w:t>
      </w:r>
    </w:p>
    <w:p w14:paraId="53A653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kern w:val="2"/>
          <w:sz w:val="32"/>
          <w:szCs w:val="32"/>
        </w:rPr>
        <w:t>第五条</w:t>
      </w:r>
      <w:r>
        <w:rPr>
          <w:rFonts w:ascii="Times New Roman" w:hAnsi="Times New Roman" w:eastAsia="仿宋" w:cs="Times New Roman"/>
          <w:b/>
          <w:bCs/>
          <w:color w:val="000000" w:themeColor="text1"/>
          <w:kern w:val="2"/>
          <w:sz w:val="32"/>
          <w:szCs w:val="32"/>
        </w:rPr>
        <w:t xml:space="preserve"> </w:t>
      </w:r>
      <w:r>
        <w:rPr>
          <w:rFonts w:ascii="Times New Roman" w:hAnsi="仿宋" w:eastAsia="仿宋" w:cs="Times New Roman"/>
          <w:color w:val="000000" w:themeColor="text1"/>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2DD31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以上收费方式，在同一法律服务办理的不同阶段，可以选择同一种方式，也可以选择不同种方式。</w:t>
      </w:r>
    </w:p>
    <w:p w14:paraId="62F3CB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仿宋" w:eastAsia="仿宋" w:cs="Times New Roman"/>
          <w:color w:val="000000" w:themeColor="text1"/>
          <w:kern w:val="2"/>
          <w:sz w:val="32"/>
          <w:szCs w:val="32"/>
        </w:rPr>
      </w:pPr>
      <w:r>
        <w:rPr>
          <w:rFonts w:ascii="Times New Roman" w:hAnsi="仿宋" w:eastAsia="仿宋" w:cs="Times New Roman"/>
          <w:b/>
          <w:bCs/>
          <w:color w:val="000000" w:themeColor="text1"/>
          <w:kern w:val="2"/>
          <w:sz w:val="32"/>
          <w:szCs w:val="32"/>
        </w:rPr>
        <w:t>第六条</w:t>
      </w:r>
      <w:r>
        <w:rPr>
          <w:rFonts w:ascii="Times New Roman" w:hAnsi="Times New Roman" w:eastAsia="仿宋" w:cs="Times New Roman"/>
          <w:b/>
          <w:bCs/>
          <w:color w:val="000000" w:themeColor="text1"/>
          <w:kern w:val="2"/>
          <w:sz w:val="32"/>
          <w:szCs w:val="32"/>
        </w:rPr>
        <w:t xml:space="preserve"> </w:t>
      </w:r>
      <w:r>
        <w:rPr>
          <w:rFonts w:ascii="Times New Roman" w:hAnsi="仿宋" w:eastAsia="仿宋" w:cs="Times New Roman"/>
          <w:color w:val="000000" w:themeColor="text1"/>
          <w:kern w:val="2"/>
          <w:sz w:val="32"/>
          <w:szCs w:val="32"/>
        </w:rPr>
        <w:t>律师服务费的收费方式和收费金额，应由律师事务所与委托人签订相应的法律事务服务合同进行约定，律师服务费应由律师事务所统一收取、统一入账，律师个人不得向委托人收取律师服务费。</w:t>
      </w:r>
      <w:r>
        <w:rPr>
          <w:rFonts w:hint="eastAsia" w:ascii="Times New Roman" w:hAnsi="仿宋" w:eastAsia="仿宋" w:cs="Times New Roman"/>
          <w:color w:val="000000" w:themeColor="text1"/>
          <w:kern w:val="2"/>
          <w:sz w:val="32"/>
          <w:szCs w:val="32"/>
        </w:rPr>
        <w:t>确因交通不便等特殊情况，当事人提出由律师代为收取律师服务费的，律师应当在代收后3个工作日内将代收的律师服务费转入律师事务所账户。</w:t>
      </w:r>
    </w:p>
    <w:p w14:paraId="634573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除律师服务费、代委托人支付的费用、异地办案差旅费外，不得以任何名义向委托人收取其他费用。</w:t>
      </w:r>
    </w:p>
    <w:p w14:paraId="6BE1AA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律师服务费由律师事务所依约定收取并据实开具律师服务费发票，</w:t>
      </w:r>
      <w:r>
        <w:rPr>
          <w:rFonts w:ascii="Times New Roman" w:hAnsi="仿宋" w:eastAsia="仿宋" w:cs="Times New Roman"/>
          <w:color w:val="000000" w:themeColor="text1"/>
          <w:kern w:val="2"/>
          <w:sz w:val="32"/>
          <w:szCs w:val="32"/>
        </w:rPr>
        <w:t>代委托人支付的费用及非包干异地办案差旅费应当提供有效凭证。</w:t>
      </w:r>
    </w:p>
    <w:p w14:paraId="6066AC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color w:val="000000" w:themeColor="text1"/>
          <w:sz w:val="32"/>
          <w:szCs w:val="32"/>
        </w:rPr>
      </w:pPr>
      <w:r>
        <w:rPr>
          <w:rFonts w:ascii="Times New Roman" w:hAnsi="黑体" w:eastAsia="黑体" w:cs="Times New Roman"/>
          <w:bCs/>
          <w:color w:val="000000" w:themeColor="text1"/>
          <w:sz w:val="32"/>
          <w:szCs w:val="32"/>
        </w:rPr>
        <w:t>第二章</w:t>
      </w:r>
      <w:r>
        <w:rPr>
          <w:rFonts w:ascii="Times New Roman" w:hAnsi="Times New Roman" w:eastAsia="黑体" w:cs="Times New Roman"/>
          <w:bCs/>
          <w:color w:val="000000" w:themeColor="text1"/>
          <w:sz w:val="32"/>
          <w:szCs w:val="32"/>
        </w:rPr>
        <w:t xml:space="preserve"> </w:t>
      </w:r>
      <w:r>
        <w:rPr>
          <w:rFonts w:ascii="Times New Roman" w:hAnsi="黑体" w:eastAsia="黑体" w:cs="Times New Roman"/>
          <w:bCs/>
          <w:color w:val="000000" w:themeColor="text1"/>
          <w:sz w:val="32"/>
          <w:szCs w:val="32"/>
        </w:rPr>
        <w:t>收费标准</w:t>
      </w:r>
    </w:p>
    <w:p w14:paraId="4E26A2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第一节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不涉及财产关系的收费</w:t>
      </w:r>
    </w:p>
    <w:p w14:paraId="32B731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不涉及财产利益关系的法律事务，一般可选择计件收费、计时收费或者按不同的诉讼程序分阶段收费的方式收取律师服务费。</w:t>
      </w:r>
    </w:p>
    <w:p w14:paraId="34760C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选择计件收费的，原则上按下列标准范围与委托人商定：</w:t>
      </w:r>
    </w:p>
    <w:p w14:paraId="46458A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w:t>
      </w:r>
    </w:p>
    <w:p w14:paraId="30A991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（二）担任国家机关、企事业单位、其他组织以及自然人的常年法律顾问，可按年度计件收费，每年度</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—50</w:t>
      </w:r>
      <w:r>
        <w:rPr>
          <w:rFonts w:ascii="Times New Roman" w:hAnsi="仿宋" w:eastAsia="仿宋" w:cs="Times New Roman"/>
          <w:color w:val="000000" w:themeColor="text1"/>
          <w:sz w:val="32"/>
          <w:szCs w:val="32"/>
        </w:rPr>
        <w:t>万元。</w:t>
      </w:r>
    </w:p>
    <w:p w14:paraId="7EC77D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（三）企业合规体系建设、专项事务法律顾问、法律风险评估或论证、合法性审查、法律意见书、尽职调查、法律培训等，不涉及财产的，可按件收费，每件</w:t>
      </w:r>
      <w:r>
        <w:rPr>
          <w:rFonts w:hint="eastAsia"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w:t>
      </w:r>
    </w:p>
    <w:p w14:paraId="629F97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顾问单位需出具法律意见书、律师函等法律文书，收费标准可在法律顾问合同中约定。</w:t>
      </w:r>
    </w:p>
    <w:p w14:paraId="45E880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仿宋" w:eastAsia="仿宋" w:cs="Times New Roman"/>
          <w:color w:val="000000" w:themeColor="text1"/>
          <w:sz w:val="32"/>
          <w:szCs w:val="32"/>
        </w:rPr>
      </w:pPr>
      <w:r>
        <w:rPr>
          <w:rFonts w:ascii="Times New Roman" w:hAnsi="仿宋" w:eastAsia="仿宋" w:cs="Times New Roman"/>
          <w:color w:val="000000" w:themeColor="text1"/>
          <w:sz w:val="32"/>
          <w:szCs w:val="32"/>
        </w:rPr>
        <w:t>（四）立法调研、起草或者修改法律法规、规范性文件、课题调研、清理规范性文件、</w:t>
      </w:r>
      <w:r>
        <w:rPr>
          <w:rFonts w:hint="eastAsia" w:ascii="Times New Roman" w:hAnsi="仿宋" w:eastAsia="仿宋" w:cs="Times New Roman"/>
          <w:color w:val="000000" w:themeColor="text1"/>
          <w:sz w:val="32"/>
          <w:szCs w:val="32"/>
        </w:rPr>
        <w:t>为企业自行清算提供法律服务等，可按件收费，每件</w:t>
      </w:r>
      <w:bookmarkStart w:id="1" w:name="_Hlk195693391"/>
      <w:r>
        <w:rPr>
          <w:rFonts w:hint="eastAsia" w:ascii="Times New Roman" w:hAnsi="仿宋" w:eastAsia="仿宋" w:cs="Times New Roman"/>
          <w:color w:val="000000" w:themeColor="text1"/>
          <w:sz w:val="32"/>
          <w:szCs w:val="32"/>
        </w:rPr>
        <w:t>10万—50万元。</w:t>
      </w:r>
      <w:bookmarkEnd w:id="1"/>
      <w:r>
        <w:rPr>
          <w:rFonts w:hint="eastAsia" w:ascii="Times New Roman" w:hAnsi="仿宋" w:eastAsia="仿宋" w:cs="Times New Roman"/>
          <w:color w:val="000000" w:themeColor="text1"/>
          <w:sz w:val="32"/>
          <w:szCs w:val="32"/>
        </w:rPr>
        <w:t>尽职调查、社会稳定风险评估，每件1万—30万元。</w:t>
      </w:r>
    </w:p>
    <w:p w14:paraId="1E1C2A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仿宋" w:eastAsia="仿宋" w:cs="Times New Roman"/>
          <w:color w:val="000000" w:themeColor="text1"/>
          <w:sz w:val="32"/>
          <w:szCs w:val="32"/>
        </w:rPr>
      </w:pPr>
      <w:r>
        <w:rPr>
          <w:rFonts w:ascii="Times New Roman" w:hAnsi="仿宋" w:eastAsia="仿宋" w:cs="Times New Roman"/>
          <w:color w:val="000000" w:themeColor="text1"/>
          <w:sz w:val="32"/>
          <w:szCs w:val="32"/>
        </w:rPr>
        <w:t>（五）</w:t>
      </w:r>
      <w:r>
        <w:rPr>
          <w:rFonts w:hint="eastAsia" w:ascii="Times New Roman" w:hAnsi="仿宋" w:eastAsia="仿宋" w:cs="Times New Roman"/>
          <w:color w:val="000000" w:themeColor="text1"/>
          <w:sz w:val="32"/>
          <w:szCs w:val="32"/>
        </w:rPr>
        <w:t>律师事务所办理涉及农民工、残疾人等弱势群体或者与公益活动有关的法律服务事项，可以酌情减免律师服务费。</w:t>
      </w:r>
    </w:p>
    <w:p w14:paraId="57E929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对于上述按件收费情形，可根据案件情况、复杂程度，上下调整幅度</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。以前已经有合作关系的服务对象，可按照以前收费标准收费。</w:t>
      </w:r>
    </w:p>
    <w:p w14:paraId="0CBA147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选择计时收费的，可按每位律师每小时</w:t>
      </w:r>
      <w:r>
        <w:rPr>
          <w:rFonts w:ascii="Times New Roman" w:hAnsi="Times New Roman" w:eastAsia="仿宋" w:cs="Times New Roman"/>
          <w:color w:val="000000" w:themeColor="text1"/>
          <w:sz w:val="32"/>
          <w:szCs w:val="32"/>
        </w:rPr>
        <w:t>300</w:t>
      </w:r>
      <w:r>
        <w:rPr>
          <w:rFonts w:ascii="Times New Roman" w:hAnsi="仿宋" w:eastAsia="仿宋" w:cs="Times New Roman"/>
          <w:color w:val="000000" w:themeColor="text1"/>
          <w:sz w:val="32"/>
          <w:szCs w:val="32"/>
        </w:rPr>
        <w:t>元至</w:t>
      </w:r>
      <w:r>
        <w:rPr>
          <w:rFonts w:ascii="Times New Roman" w:hAnsi="Times New Roman" w:eastAsia="仿宋" w:cs="Times New Roman"/>
          <w:color w:val="000000" w:themeColor="text1"/>
          <w:sz w:val="32"/>
          <w:szCs w:val="32"/>
        </w:rPr>
        <w:t>6000</w:t>
      </w:r>
      <w:r>
        <w:rPr>
          <w:rFonts w:ascii="Times New Roman" w:hAnsi="仿宋" w:eastAsia="仿宋" w:cs="Times New Roman"/>
          <w:color w:val="000000" w:themeColor="text1"/>
          <w:sz w:val="32"/>
          <w:szCs w:val="32"/>
        </w:rPr>
        <w:t>元收取律师服务费，承办律师为二人以上的，以各自的计费标准和计费工作时间分别计算。</w:t>
      </w:r>
    </w:p>
    <w:p w14:paraId="05E185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sz w:val="32"/>
          <w:szCs w:val="32"/>
        </w:rPr>
        <w:t>计费工作时间是律师办理委托事项的有效工作时间，</w:t>
      </w:r>
      <w:r>
        <w:rPr>
          <w:rFonts w:ascii="Times New Roman" w:hAnsi="仿宋" w:eastAsia="仿宋" w:cs="Times New Roman"/>
          <w:color w:val="000000" w:themeColor="text1"/>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FA49C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第十一条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不涉及财产关系的法律事项选择按诉讼程序分阶段收费的，每个阶段可以在</w:t>
      </w:r>
      <w:r>
        <w:rPr>
          <w:rFonts w:ascii="Times New Roman" w:hAnsi="Times New Roman" w:eastAsia="仿宋" w:cs="Times New Roman"/>
          <w:color w:val="000000" w:themeColor="text1"/>
          <w:sz w:val="32"/>
          <w:szCs w:val="32"/>
        </w:rPr>
        <w:t>5000-30</w:t>
      </w:r>
      <w:r>
        <w:rPr>
          <w:rFonts w:ascii="Times New Roman" w:hAnsi="仿宋" w:eastAsia="仿宋" w:cs="Times New Roman"/>
          <w:color w:val="000000" w:themeColor="text1"/>
          <w:sz w:val="32"/>
          <w:szCs w:val="32"/>
        </w:rPr>
        <w:t>万范围内收取律师服务费，可根据案件情况，调整幅度为</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w:t>
      </w:r>
    </w:p>
    <w:p w14:paraId="0511B0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第二节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涉及财产关系的固定代理收费</w:t>
      </w:r>
    </w:p>
    <w:p w14:paraId="26D4CE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themeColor="text1"/>
          <w:sz w:val="32"/>
          <w:szCs w:val="32"/>
        </w:rPr>
        <w:t>:</w:t>
      </w:r>
    </w:p>
    <w:p w14:paraId="05C2D7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仿宋" w:eastAsia="仿宋" w:cs="Times New Roman"/>
          <w:color w:val="000000" w:themeColor="text1"/>
          <w:sz w:val="32"/>
          <w:szCs w:val="32"/>
        </w:rPr>
      </w:pPr>
      <w:r>
        <w:rPr>
          <w:rFonts w:ascii="Times New Roman" w:hAnsi="仿宋" w:eastAsia="仿宋" w:cs="Times New Roman"/>
          <w:color w:val="000000" w:themeColor="text1"/>
          <w:sz w:val="32"/>
          <w:szCs w:val="32"/>
        </w:rPr>
        <w:t>（一）</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万元以下部分收费比例为</w:t>
      </w:r>
      <w:r>
        <w:rPr>
          <w:rFonts w:ascii="Times New Roman" w:hAnsi="Times New Roman" w:eastAsia="仿宋" w:cs="Times New Roman"/>
          <w:color w:val="000000" w:themeColor="text1"/>
          <w:sz w:val="32"/>
          <w:szCs w:val="32"/>
        </w:rPr>
        <w:t>4%-9%</w:t>
      </w:r>
      <w:r>
        <w:rPr>
          <w:rFonts w:ascii="Times New Roman" w:hAnsi="仿宋" w:eastAsia="仿宋" w:cs="Times New Roman"/>
          <w:color w:val="000000" w:themeColor="text1"/>
          <w:sz w:val="32"/>
          <w:szCs w:val="32"/>
        </w:rPr>
        <w:t>，最低不少于</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元</w:t>
      </w:r>
      <w:r>
        <w:rPr>
          <w:rFonts w:hint="eastAsia" w:ascii="Times New Roman" w:hAnsi="仿宋" w:eastAsia="仿宋" w:cs="Times New Roman"/>
          <w:color w:val="000000" w:themeColor="text1"/>
          <w:sz w:val="32"/>
          <w:szCs w:val="32"/>
        </w:rPr>
        <w:t>，案件标的额小、法律关系简单等案件，可以在上述收费标准下，酌情降低收取。</w:t>
      </w:r>
    </w:p>
    <w:p w14:paraId="36A403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万元至</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万元部分为</w:t>
      </w:r>
      <w:r>
        <w:rPr>
          <w:rFonts w:ascii="Times New Roman" w:hAnsi="Times New Roman" w:eastAsia="仿宋" w:cs="Times New Roman"/>
          <w:color w:val="000000" w:themeColor="text1"/>
          <w:sz w:val="32"/>
          <w:szCs w:val="32"/>
        </w:rPr>
        <w:t>3%-7%</w:t>
      </w:r>
      <w:r>
        <w:rPr>
          <w:rFonts w:ascii="Times New Roman" w:hAnsi="仿宋" w:eastAsia="仿宋" w:cs="Times New Roman"/>
          <w:color w:val="000000" w:themeColor="text1"/>
          <w:sz w:val="32"/>
          <w:szCs w:val="32"/>
        </w:rPr>
        <w:t>；</w:t>
      </w:r>
    </w:p>
    <w:p w14:paraId="3DA8AF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万元至</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万元部分为</w:t>
      </w:r>
      <w:r>
        <w:rPr>
          <w:rFonts w:ascii="Times New Roman" w:hAnsi="Times New Roman" w:eastAsia="仿宋" w:cs="Times New Roman"/>
          <w:color w:val="000000" w:themeColor="text1"/>
          <w:sz w:val="32"/>
          <w:szCs w:val="32"/>
        </w:rPr>
        <w:t>2%-5%;</w:t>
      </w:r>
    </w:p>
    <w:p w14:paraId="010F16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万元以上部分，为</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w:t>
      </w:r>
    </w:p>
    <w:p w14:paraId="42B275F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第十三条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的优惠。</w:t>
      </w:r>
    </w:p>
    <w:p w14:paraId="315D6B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投融资、上市、并购、重组、改制、破产、清算、公司设立、公司治理结构设计、股权及债权债务转让等，参照第十二条标准收费。</w:t>
      </w:r>
    </w:p>
    <w:p w14:paraId="195CE9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第十五条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若涉及法律服务招投标的案件，律师事务所参与投标，招投标案件的代理费标准与本所收费标准冲突的，以招标文件为准。</w:t>
      </w:r>
    </w:p>
    <w:p w14:paraId="778323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第三节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涉及财产关系的风险代理收费</w:t>
      </w:r>
    </w:p>
    <w:p w14:paraId="5EB41B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第十六条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风险代理各个环节收取的律师服务费合计最高金额应当符合下列标准：</w:t>
      </w:r>
    </w:p>
    <w:p w14:paraId="7FE2F6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（一）标的额不足人民币</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8%-18%</w:t>
      </w:r>
      <w:r>
        <w:rPr>
          <w:rFonts w:ascii="Times New Roman" w:hAnsi="仿宋" w:eastAsia="仿宋" w:cs="Times New Roman"/>
          <w:color w:val="000000" w:themeColor="text1"/>
          <w:sz w:val="32"/>
          <w:szCs w:val="32"/>
        </w:rPr>
        <w:t>计算；</w:t>
      </w:r>
    </w:p>
    <w:p w14:paraId="045F67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（二）标的额在人民币</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7%-15%</w:t>
      </w:r>
      <w:r>
        <w:rPr>
          <w:rFonts w:ascii="Times New Roman" w:hAnsi="仿宋" w:eastAsia="仿宋" w:cs="Times New Roman"/>
          <w:color w:val="000000" w:themeColor="text1"/>
          <w:sz w:val="32"/>
          <w:szCs w:val="32"/>
        </w:rPr>
        <w:t>计算；</w:t>
      </w:r>
    </w:p>
    <w:p w14:paraId="494785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（三）标的额在人民币</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5%-12%</w:t>
      </w:r>
      <w:r>
        <w:rPr>
          <w:rFonts w:ascii="Times New Roman" w:hAnsi="仿宋" w:eastAsia="仿宋" w:cs="Times New Roman"/>
          <w:color w:val="000000" w:themeColor="text1"/>
          <w:sz w:val="32"/>
          <w:szCs w:val="32"/>
        </w:rPr>
        <w:t>计算；</w:t>
      </w:r>
    </w:p>
    <w:p w14:paraId="48619C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（四）标的额在人民币</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3%-9%</w:t>
      </w:r>
      <w:r>
        <w:rPr>
          <w:rFonts w:ascii="Times New Roman" w:hAnsi="仿宋" w:eastAsia="仿宋" w:cs="Times New Roman"/>
          <w:color w:val="000000" w:themeColor="text1"/>
          <w:sz w:val="32"/>
          <w:szCs w:val="32"/>
        </w:rPr>
        <w:t>计算；</w:t>
      </w:r>
    </w:p>
    <w:p w14:paraId="791506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（五）标的额在人民币</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万元以上的部分，按</w:t>
      </w:r>
      <w:r>
        <w:rPr>
          <w:rFonts w:ascii="Times New Roman" w:hAnsi="Times New Roman" w:eastAsia="仿宋" w:cs="Times New Roman"/>
          <w:color w:val="000000" w:themeColor="text1"/>
          <w:sz w:val="32"/>
          <w:szCs w:val="32"/>
        </w:rPr>
        <w:t>2%-6%</w:t>
      </w:r>
      <w:r>
        <w:rPr>
          <w:rFonts w:ascii="Times New Roman" w:hAnsi="仿宋" w:eastAsia="仿宋" w:cs="Times New Roman"/>
          <w:color w:val="000000" w:themeColor="text1"/>
          <w:sz w:val="32"/>
          <w:szCs w:val="32"/>
        </w:rPr>
        <w:t>计算。</w:t>
      </w:r>
    </w:p>
    <w:p w14:paraId="611878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F22AB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sz w:val="32"/>
          <w:szCs w:val="32"/>
        </w:rPr>
        <w:t>第十七条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F5174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在订立风险代理合同过程中，律师或律师事务所应当按相关规定向委托人履行提示义务和告知义务</w:t>
      </w:r>
      <w:r>
        <w:rPr>
          <w:rFonts w:ascii="Times New Roman" w:hAnsi="仿宋" w:eastAsia="仿宋" w:cs="Times New Roman"/>
          <w:color w:val="000000" w:themeColor="text1"/>
          <w:kern w:val="2"/>
          <w:sz w:val="32"/>
          <w:szCs w:val="32"/>
        </w:rPr>
        <w:t>。</w:t>
      </w:r>
    </w:p>
    <w:p w14:paraId="285513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第四节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不能采取风险代理收费</w:t>
      </w:r>
    </w:p>
    <w:p w14:paraId="1963B3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下列案件不能采取或变相采取风险代理收费方式：</w:t>
      </w:r>
    </w:p>
    <w:p w14:paraId="3D31BC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（一）刑事诉讼案件；</w:t>
      </w:r>
    </w:p>
    <w:p w14:paraId="68CE6C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（二）行政诉讼案件；</w:t>
      </w:r>
    </w:p>
    <w:p w14:paraId="3558F1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（三）国家赔偿案件；</w:t>
      </w:r>
    </w:p>
    <w:p w14:paraId="47CF61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（四）群体性诉讼案件；</w:t>
      </w:r>
    </w:p>
    <w:p w14:paraId="2CE64F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（五）婚姻继承案件；</w:t>
      </w:r>
    </w:p>
    <w:p w14:paraId="7D2898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color w:val="000000" w:themeColor="text1"/>
          <w:sz w:val="32"/>
          <w:szCs w:val="32"/>
        </w:rPr>
      </w:pPr>
      <w:r>
        <w:rPr>
          <w:rFonts w:ascii="Times New Roman" w:hAnsi="仿宋" w:eastAsia="仿宋" w:cs="Times New Roman"/>
          <w:color w:val="000000" w:themeColor="text1"/>
          <w:sz w:val="32"/>
          <w:szCs w:val="32"/>
        </w:rPr>
        <w:t>（六）请求给予社会保险待遇、最低生活保障待遇、赡养费、抚养费、扶养费、抚恤金、救济金、工伤赔偿、劳动报酬的案件。</w:t>
      </w:r>
    </w:p>
    <w:p w14:paraId="76CA8D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24D25E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、侦查阶段、审查起诉阶段、一审阶段、二审阶段，每个阶段</w:t>
      </w: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万元；上述阶段同时由本所律师代理的，可给予优惠，优惠幅度</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w:t>
      </w:r>
    </w:p>
    <w:p w14:paraId="7CBF2C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、重审、申诉、再审，每件每阶段按照</w:t>
      </w:r>
      <w:r>
        <w:rPr>
          <w:rFonts w:ascii="Times New Roman" w:hAnsi="Times New Roman" w:eastAsia="仿宋" w:cs="Times New Roman"/>
          <w:color w:val="000000" w:themeColor="text1"/>
          <w:sz w:val="32"/>
          <w:szCs w:val="32"/>
        </w:rPr>
        <w:t>3-30</w:t>
      </w:r>
      <w:r>
        <w:rPr>
          <w:rFonts w:ascii="Times New Roman" w:hAnsi="仿宋" w:eastAsia="仿宋" w:cs="Times New Roman"/>
          <w:color w:val="000000" w:themeColor="text1"/>
          <w:sz w:val="32"/>
          <w:szCs w:val="32"/>
        </w:rPr>
        <w:t>万元收取，如上述案件经重审、申诉、再审，又涉及一审、二审阶段及其他阶段的，则每个阶段另行按照本条对应的费用加收；</w:t>
      </w:r>
    </w:p>
    <w:p w14:paraId="2E1B63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、案件涉及有财产及其他标的，参照本标准第二章第二节的规定执行。</w:t>
      </w:r>
    </w:p>
    <w:p w14:paraId="4C4FA01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担任刑事案件自诉人、被害人的代理人：</w:t>
      </w: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件，也可按标的额的百分比进行收费。</w:t>
      </w:r>
    </w:p>
    <w:p w14:paraId="53D7B5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不能采取或变相采取风险代理收费的，参照本标准第二章第二节的规定执行。</w:t>
      </w:r>
    </w:p>
    <w:p w14:paraId="32082D6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第二十一条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代理国家赔偿案件可实行计件收费，每件收取</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5286A0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代理行政诉讼一审、二审、发回重审、复议、听证、申诉等案件的收费标准，参照本收费标准执行，但不得适用风险代理收费。</w:t>
      </w:r>
    </w:p>
    <w:p w14:paraId="4BE9179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themeColor="text1"/>
          <w:kern w:val="0"/>
          <w:sz w:val="32"/>
          <w:szCs w:val="32"/>
        </w:rPr>
      </w:pPr>
      <w:r>
        <w:rPr>
          <w:rFonts w:ascii="Times New Roman" w:hAnsi="黑体" w:eastAsia="黑体" w:cs="Times New Roman"/>
          <w:bCs/>
          <w:color w:val="000000" w:themeColor="text1"/>
          <w:kern w:val="0"/>
          <w:sz w:val="32"/>
          <w:szCs w:val="32"/>
        </w:rPr>
        <w:t>第三章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上浮收费标准</w:t>
      </w:r>
    </w:p>
    <w:p w14:paraId="3FA149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第二十三条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14:paraId="690A48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涉外（含涉港、澳、台）案件的收费标准，原则上按照本收费标准上浮</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倍执行。经委托人同意，也可以由本所参照外国或港、澳、台地区律师事务所驻我国代表机构办理同类法律事务的收费标准，与委托人协商确定收费数额。</w:t>
      </w:r>
    </w:p>
    <w:p w14:paraId="637D5F7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第二十五条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倍收费。下列案件为重大、疑难、复杂民事诉讼、仲裁案件：</w:t>
      </w:r>
    </w:p>
    <w:p w14:paraId="256C1E4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由中级以上人民法院受理一审的案件；</w:t>
      </w:r>
    </w:p>
    <w:p w14:paraId="763D3F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当事人一方人数在</w:t>
      </w:r>
      <w:r>
        <w:rPr>
          <w:rFonts w:ascii="Times New Roman" w:hAnsi="Times New Roman" w:eastAsia="仿宋" w:cs="Times New Roman"/>
          <w:color w:val="000000" w:themeColor="text1"/>
          <w:sz w:val="32"/>
          <w:szCs w:val="32"/>
        </w:rPr>
        <w:t xml:space="preserve">3 </w:t>
      </w:r>
      <w:r>
        <w:rPr>
          <w:rFonts w:ascii="Times New Roman" w:hAnsi="仿宋" w:eastAsia="仿宋" w:cs="Times New Roman"/>
          <w:color w:val="000000" w:themeColor="text1"/>
          <w:sz w:val="32"/>
          <w:szCs w:val="32"/>
        </w:rPr>
        <w:t>人及</w:t>
      </w:r>
      <w:r>
        <w:rPr>
          <w:rFonts w:ascii="Times New Roman" w:hAnsi="Times New Roman" w:eastAsia="仿宋" w:cs="Times New Roman"/>
          <w:color w:val="000000" w:themeColor="text1"/>
          <w:sz w:val="32"/>
          <w:szCs w:val="32"/>
        </w:rPr>
        <w:t xml:space="preserve">3 </w:t>
      </w:r>
      <w:r>
        <w:rPr>
          <w:rFonts w:ascii="Times New Roman" w:hAnsi="仿宋" w:eastAsia="仿宋" w:cs="Times New Roman"/>
          <w:color w:val="000000" w:themeColor="text1"/>
          <w:sz w:val="32"/>
          <w:szCs w:val="32"/>
        </w:rPr>
        <w:t>人以上的共同诉讼案件；</w:t>
      </w:r>
    </w:p>
    <w:p w14:paraId="2BB79C7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知识产权纠纷案、不正当竞争纠纷案、商誉权、名誉权纠纷等案件；</w:t>
      </w:r>
    </w:p>
    <w:p w14:paraId="0B0E6F9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(4)</w:t>
      </w:r>
      <w:r>
        <w:rPr>
          <w:rFonts w:ascii="Times New Roman" w:hAnsi="仿宋" w:eastAsia="仿宋" w:cs="Times New Roman"/>
          <w:color w:val="000000" w:themeColor="text1"/>
          <w:sz w:val="32"/>
          <w:szCs w:val="32"/>
        </w:rPr>
        <w:t>取证困难的案件；</w:t>
      </w:r>
    </w:p>
    <w:p w14:paraId="7D3DF4A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新类型案件；</w:t>
      </w:r>
    </w:p>
    <w:p w14:paraId="170BE16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涉及两个以上法律关系的案件；</w:t>
      </w:r>
    </w:p>
    <w:p w14:paraId="1AEF1B7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(7)</w:t>
      </w:r>
      <w:r>
        <w:rPr>
          <w:rFonts w:ascii="Times New Roman" w:hAnsi="仿宋" w:eastAsia="仿宋" w:cs="Times New Roman"/>
          <w:color w:val="000000" w:themeColor="text1"/>
          <w:sz w:val="32"/>
          <w:szCs w:val="32"/>
        </w:rPr>
        <w:t>涉及专业知识，需要聘请具备非法律专业知识的人员协助方能办理的案件；</w:t>
      </w:r>
    </w:p>
    <w:p w14:paraId="4FEB246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其他经本所与委托人协商，双方认为属于重大、疑难、复杂的民事诉讼、仲裁案件。</w:t>
      </w:r>
    </w:p>
    <w:p w14:paraId="00E2CC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第二十六条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代理民事申诉案件，按照代理民事诉讼案件按一审阶段收费标准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14:paraId="4AACB6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单独承办执行案件，如执行难度大，执行程序复杂的重大执行案件，按一审阶段收费标准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14:paraId="2EDE6A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办理职务犯罪、异地、重大、疑难、复杂、社会影响较大的刑事诉讼案件，可以在本收费标准中刑事收费标准基础</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倍之内</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含</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倍</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协商确定收费。</w:t>
      </w:r>
    </w:p>
    <w:p w14:paraId="66F9E172">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themeColor="text1"/>
          <w:kern w:val="0"/>
          <w:sz w:val="32"/>
          <w:szCs w:val="32"/>
        </w:rPr>
      </w:pPr>
      <w:bookmarkStart w:id="2" w:name="_GoBack"/>
      <w:bookmarkEnd w:id="2"/>
      <w:r>
        <w:rPr>
          <w:rFonts w:ascii="Times New Roman" w:hAnsi="黑体" w:eastAsia="黑体" w:cs="Times New Roman"/>
          <w:bCs/>
          <w:color w:val="000000" w:themeColor="text1"/>
          <w:kern w:val="0"/>
          <w:sz w:val="32"/>
          <w:szCs w:val="32"/>
        </w:rPr>
        <w:t>第四章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其他说明</w:t>
      </w:r>
    </w:p>
    <w:p w14:paraId="5670B9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color w:val="000000" w:themeColor="text1"/>
          <w:sz w:val="32"/>
          <w:szCs w:val="32"/>
        </w:rPr>
      </w:pPr>
      <w:r>
        <w:rPr>
          <w:rFonts w:ascii="Times New Roman" w:hAnsi="仿宋" w:eastAsia="仿宋" w:cs="Times New Roman"/>
          <w:b/>
          <w:bCs/>
          <w:color w:val="000000" w:themeColor="text1"/>
          <w:sz w:val="32"/>
          <w:szCs w:val="32"/>
        </w:rPr>
        <w:t>第二十九条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bCs/>
          <w:color w:val="000000" w:themeColor="text1"/>
          <w:sz w:val="32"/>
          <w:szCs w:val="32"/>
        </w:rPr>
        <w:t>其他收费方式</w:t>
      </w:r>
      <w:r>
        <w:rPr>
          <w:rFonts w:ascii="Times New Roman" w:hAnsi="仿宋" w:eastAsia="仿宋" w:cs="Times New Roman"/>
          <w:color w:val="000000" w:themeColor="text1"/>
          <w:sz w:val="32"/>
          <w:szCs w:val="32"/>
        </w:rPr>
        <w:t>根据委托事项的实际情况，由律师与委托人协商一致，由律师事务所与委托人在律师服务收费合同或者在委托代理合同中确定，但不得违反国家、省相关文件的规定。</w:t>
      </w:r>
    </w:p>
    <w:p w14:paraId="25256E82">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3A3B4D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第三十一条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对办理涉及农民工、残疾人等弱势群体或者与公益活动、法治宣传等有关的法律服务事项，可以酌情减免律师服务费。</w:t>
      </w:r>
    </w:p>
    <w:p w14:paraId="7993229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律师接受指派的法律援助案件，不得向受援人收取任何费用。</w:t>
      </w:r>
    </w:p>
    <w:p w14:paraId="0B6DEDB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律师在办理委托事项过程中，如发现委托人符合法律援助条件的，应告知委托人可以申请法律援助。</w:t>
      </w:r>
    </w:p>
    <w:p w14:paraId="2BC46D2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第三十三条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全体律师除前述第三十一条、第三十二条涉及案件外，其他案件收费应严格按本收费标准执行，不得以争揽业务为目的，通过减收或免收律师服务费吸引委托人，进行低价的不正当竞争。</w:t>
      </w:r>
    </w:p>
    <w:p w14:paraId="48E8ED2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color w:val="000000" w:themeColor="text1"/>
          <w:kern w:val="0"/>
          <w:sz w:val="32"/>
          <w:szCs w:val="32"/>
        </w:rPr>
      </w:pPr>
      <w:r>
        <w:rPr>
          <w:rFonts w:ascii="Times New Roman" w:hAnsi="黑体" w:eastAsia="黑体" w:cs="Times New Roman"/>
          <w:bCs/>
          <w:color w:val="000000" w:themeColor="text1"/>
          <w:kern w:val="0"/>
          <w:sz w:val="32"/>
          <w:szCs w:val="32"/>
        </w:rPr>
        <w:t>第五章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附则</w:t>
      </w:r>
    </w:p>
    <w:p w14:paraId="3B6889E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color w:val="000000" w:themeColor="text1"/>
          <w:kern w:val="0"/>
          <w:sz w:val="32"/>
          <w:szCs w:val="32"/>
        </w:rPr>
      </w:pPr>
      <w:r>
        <w:rPr>
          <w:rFonts w:ascii="Times New Roman" w:hAnsi="仿宋" w:eastAsia="仿宋" w:cs="Times New Roman"/>
          <w:b/>
          <w:bCs/>
          <w:color w:val="000000" w:themeColor="text1"/>
          <w:kern w:val="0"/>
          <w:sz w:val="32"/>
          <w:szCs w:val="32"/>
        </w:rPr>
        <w:t>第三十四条</w:t>
      </w:r>
      <w:r>
        <w:rPr>
          <w:rFonts w:ascii="Times New Roman" w:hAnsi="Times New Roman" w:eastAsia="仿宋" w:cs="Times New Roman"/>
          <w:b/>
          <w:bCs/>
          <w:color w:val="000000" w:themeColor="text1"/>
          <w:kern w:val="0"/>
          <w:sz w:val="32"/>
          <w:szCs w:val="32"/>
        </w:rPr>
        <w:t xml:space="preserve"> </w:t>
      </w:r>
      <w:r>
        <w:rPr>
          <w:rFonts w:ascii="Times New Roman" w:hAnsi="仿宋" w:eastAsia="仿宋" w:cs="Times New Roman"/>
          <w:color w:val="000000" w:themeColor="text1"/>
          <w:kern w:val="0"/>
          <w:sz w:val="32"/>
          <w:szCs w:val="32"/>
        </w:rPr>
        <w:t>本收费标准应当按照相关规定予以备案，并在所内公示，律师事务所全体律师严格遵照执行，并接受社会监督。</w:t>
      </w:r>
    </w:p>
    <w:p w14:paraId="73588C2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color w:val="000000" w:themeColor="text1"/>
          <w:kern w:val="0"/>
          <w:sz w:val="32"/>
          <w:szCs w:val="32"/>
        </w:rPr>
        <w:t>第三十五条</w:t>
      </w:r>
      <w:r>
        <w:rPr>
          <w:rFonts w:ascii="Times New Roman" w:hAnsi="Times New Roman" w:eastAsia="仿宋" w:cs="Times New Roman"/>
          <w:b/>
          <w:bCs/>
          <w:color w:val="000000" w:themeColor="text1"/>
          <w:kern w:val="0"/>
          <w:sz w:val="32"/>
          <w:szCs w:val="32"/>
        </w:rPr>
        <w:t xml:space="preserve"> </w:t>
      </w:r>
      <w:r>
        <w:rPr>
          <w:rFonts w:ascii="Times New Roman" w:hAnsi="仿宋" w:eastAsia="仿宋" w:cs="Times New Roman"/>
          <w:color w:val="000000" w:themeColor="text1"/>
          <w:kern w:val="0"/>
          <w:sz w:val="32"/>
          <w:szCs w:val="32"/>
        </w:rPr>
        <w:t>本收费标准按照规定在德阳市律师协会同意备案后生效。</w:t>
      </w:r>
    </w:p>
    <w:p w14:paraId="3F0B321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857DFF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0838013">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7DE0AD30">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C86EC5C">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65DE">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6CF857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04CAC"/>
    <w:rsid w:val="00060B2C"/>
    <w:rsid w:val="00086D6F"/>
    <w:rsid w:val="000A5223"/>
    <w:rsid w:val="00150461"/>
    <w:rsid w:val="00163348"/>
    <w:rsid w:val="00166E61"/>
    <w:rsid w:val="001702D6"/>
    <w:rsid w:val="00176683"/>
    <w:rsid w:val="001A3E74"/>
    <w:rsid w:val="001B2CA9"/>
    <w:rsid w:val="0021196F"/>
    <w:rsid w:val="002644D8"/>
    <w:rsid w:val="0026763C"/>
    <w:rsid w:val="00287CA0"/>
    <w:rsid w:val="002A714E"/>
    <w:rsid w:val="002A728B"/>
    <w:rsid w:val="002B64F3"/>
    <w:rsid w:val="002B66A4"/>
    <w:rsid w:val="002E0982"/>
    <w:rsid w:val="002F18F0"/>
    <w:rsid w:val="002F49BF"/>
    <w:rsid w:val="003517FF"/>
    <w:rsid w:val="0038630C"/>
    <w:rsid w:val="003B4A86"/>
    <w:rsid w:val="003E7E4D"/>
    <w:rsid w:val="00404C3D"/>
    <w:rsid w:val="004128C2"/>
    <w:rsid w:val="004C268B"/>
    <w:rsid w:val="004D1774"/>
    <w:rsid w:val="004D70C4"/>
    <w:rsid w:val="005245C8"/>
    <w:rsid w:val="00531628"/>
    <w:rsid w:val="00557E26"/>
    <w:rsid w:val="00567584"/>
    <w:rsid w:val="00677DBB"/>
    <w:rsid w:val="006B2C17"/>
    <w:rsid w:val="006C311F"/>
    <w:rsid w:val="006C6CD7"/>
    <w:rsid w:val="006D6BB3"/>
    <w:rsid w:val="00751D1A"/>
    <w:rsid w:val="007752D3"/>
    <w:rsid w:val="007B2EEE"/>
    <w:rsid w:val="007D09B9"/>
    <w:rsid w:val="008542A3"/>
    <w:rsid w:val="00892619"/>
    <w:rsid w:val="008C65AC"/>
    <w:rsid w:val="008F69B3"/>
    <w:rsid w:val="00912D78"/>
    <w:rsid w:val="00915DD7"/>
    <w:rsid w:val="009665C3"/>
    <w:rsid w:val="00966996"/>
    <w:rsid w:val="00973FB4"/>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04EFD"/>
    <w:rsid w:val="00D23FC9"/>
    <w:rsid w:val="00D246FF"/>
    <w:rsid w:val="00D40349"/>
    <w:rsid w:val="00D94AA5"/>
    <w:rsid w:val="00DC11B8"/>
    <w:rsid w:val="00E20405"/>
    <w:rsid w:val="00E41BE8"/>
    <w:rsid w:val="00E53727"/>
    <w:rsid w:val="00E64635"/>
    <w:rsid w:val="00E7405B"/>
    <w:rsid w:val="00E7708B"/>
    <w:rsid w:val="00EA5D3A"/>
    <w:rsid w:val="00EF32BA"/>
    <w:rsid w:val="00F37ACF"/>
    <w:rsid w:val="00F618B6"/>
    <w:rsid w:val="00F73074"/>
    <w:rsid w:val="00FB0721"/>
    <w:rsid w:val="00FD2942"/>
    <w:rsid w:val="00FE2E7F"/>
    <w:rsid w:val="396664A7"/>
    <w:rsid w:val="428614A9"/>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4601</Words>
  <Characters>4763</Characters>
  <Lines>35</Lines>
  <Paragraphs>9</Paragraphs>
  <TotalTime>1</TotalTime>
  <ScaleCrop>false</ScaleCrop>
  <LinksUpToDate>false</LinksUpToDate>
  <CharactersWithSpaces>4836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2025-05-23T02:30:04Z</cp:lastPrinted>
  <dcterms:modified xsi:type="dcterms:W3CDTF">2025-05-23T02:30:31Z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