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53D0742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号）及省上相关规定，本会对四川天啸律师事务所提交的《四川天啸律师事务所律师服务收费标准》已审查完毕，相关内容符合相关规定，本会同意备案人的备案申请，该收费标准自备案之日起至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7621019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7F9FAC38">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四川天啸律师事务所律师服务收费标准</w:t>
      </w:r>
    </w:p>
    <w:p w14:paraId="5FBD0F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69993B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根据国家、省相关法律法规及规范性文件规定和要求，并结合本市、本所实际情况制定本收费标准。</w:t>
      </w:r>
    </w:p>
    <w:p w14:paraId="228685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D7305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sz w:val="32"/>
          <w:szCs w:val="32"/>
        </w:rPr>
        <w:t>第三条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律师服务费是</w:t>
      </w:r>
      <w:r>
        <w:rPr>
          <w:rFonts w:ascii="Times New Roman" w:hAnsi="仿宋" w:eastAsia="仿宋" w:cs="Times New Roman"/>
          <w:color w:val="000000"/>
          <w:kern w:val="2"/>
          <w:sz w:val="32"/>
          <w:szCs w:val="32"/>
        </w:rPr>
        <w:t>律师事务所接受委托办理法律事务，向委托人收取服务报酬的行为。</w:t>
      </w:r>
    </w:p>
    <w:p w14:paraId="4EE8EE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w:t>
      </w:r>
      <w:bookmarkStart w:id="1" w:name="_GoBack"/>
      <w:bookmarkEnd w:id="1"/>
      <w:r>
        <w:rPr>
          <w:rFonts w:ascii="Times New Roman" w:hAnsi="仿宋" w:eastAsia="仿宋" w:cs="Times New Roman"/>
          <w:color w:val="000000"/>
          <w:kern w:val="2"/>
          <w:sz w:val="32"/>
          <w:szCs w:val="32"/>
        </w:rPr>
        <w:t>付。</w:t>
      </w:r>
    </w:p>
    <w:p w14:paraId="027DE1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第四条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本所就下列委托事项收取律师服务费</w:t>
      </w:r>
      <w:r>
        <w:rPr>
          <w:rFonts w:ascii="Times New Roman" w:hAnsi="Times New Roman" w:eastAsia="仿宋" w:cs="Times New Roman"/>
          <w:color w:val="000000"/>
          <w:sz w:val="32"/>
          <w:szCs w:val="32"/>
        </w:rPr>
        <w:t>:</w:t>
      </w:r>
    </w:p>
    <w:p w14:paraId="5BCF2A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（一）代理各类案件担任代理人、辩护人，起草相关法律文书，开展各类专项法律服务，担任法律顾问，接受法律咨询等法律业务。</w:t>
      </w:r>
    </w:p>
    <w:p w14:paraId="488BFA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（二）律师从事其它与法律服务及法律培训相关的事务。</w:t>
      </w:r>
    </w:p>
    <w:p w14:paraId="160CF9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kern w:val="2"/>
          <w:sz w:val="32"/>
          <w:szCs w:val="32"/>
        </w:rPr>
        <w:t>第五条</w:t>
      </w:r>
      <w:r>
        <w:rPr>
          <w:rFonts w:ascii="Times New Roman" w:hAnsi="Times New Roman" w:eastAsia="仿宋" w:cs="Times New Roman"/>
          <w:color w:val="000000"/>
          <w:kern w:val="2"/>
          <w:sz w:val="32"/>
          <w:szCs w:val="32"/>
        </w:rPr>
        <w:t xml:space="preserve"> </w:t>
      </w:r>
      <w:r>
        <w:rPr>
          <w:rFonts w:ascii="Times New Roman" w:hAnsi="仿宋" w:eastAsia="仿宋" w:cs="Times New Roman"/>
          <w:color w:val="000000"/>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4AAFD3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以上收费方式，在同一法律服务办理的不同阶段，可以选择同一种方式，也可以选择不同种方式。</w:t>
      </w:r>
    </w:p>
    <w:p w14:paraId="79296F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kern w:val="2"/>
          <w:sz w:val="32"/>
          <w:szCs w:val="32"/>
        </w:rPr>
        <w:t>第六条</w:t>
      </w:r>
      <w:r>
        <w:rPr>
          <w:rFonts w:ascii="Times New Roman" w:hAnsi="Times New Roman" w:eastAsia="仿宋" w:cs="Times New Roman"/>
          <w:color w:val="000000"/>
          <w:kern w:val="2"/>
          <w:sz w:val="32"/>
          <w:szCs w:val="32"/>
        </w:rPr>
        <w:t xml:space="preserve"> </w:t>
      </w:r>
      <w:r>
        <w:rPr>
          <w:rFonts w:ascii="Times New Roman" w:hAnsi="仿宋" w:eastAsia="仿宋" w:cs="Times New Roman"/>
          <w:color w:val="000000"/>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color w:val="000000"/>
          <w:kern w:val="2"/>
          <w:sz w:val="32"/>
          <w:szCs w:val="32"/>
        </w:rPr>
        <w:t>3</w:t>
      </w:r>
      <w:r>
        <w:rPr>
          <w:rFonts w:ascii="Times New Roman" w:hAnsi="仿宋" w:eastAsia="仿宋" w:cs="Times New Roman"/>
          <w:color w:val="000000"/>
          <w:kern w:val="2"/>
          <w:sz w:val="32"/>
          <w:szCs w:val="32"/>
        </w:rPr>
        <w:t>个工作日内将律师服务费全额转入律师事务所账户。</w:t>
      </w:r>
    </w:p>
    <w:p w14:paraId="2798A8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除律师服务费、代委托人支付的费用、异地办案差旅费外，不得以任何名义向委托人收取其他费用。</w:t>
      </w:r>
    </w:p>
    <w:p w14:paraId="1E2E63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第七条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律师服务费由律师事务所依约定收取并据实开具律师服务费发票，</w:t>
      </w:r>
      <w:r>
        <w:rPr>
          <w:rFonts w:ascii="Times New Roman" w:hAnsi="仿宋" w:eastAsia="仿宋" w:cs="Times New Roman"/>
          <w:color w:val="000000"/>
          <w:kern w:val="2"/>
          <w:sz w:val="32"/>
          <w:szCs w:val="32"/>
        </w:rPr>
        <w:t>代委托人支付的费用及非包干异地办案差旅费应当提供有效凭证。</w:t>
      </w:r>
    </w:p>
    <w:p w14:paraId="4B6292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第二章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收费标准</w:t>
      </w:r>
    </w:p>
    <w:p w14:paraId="29B83C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第一节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不涉及财产关系的收费</w:t>
      </w:r>
    </w:p>
    <w:p w14:paraId="0DCD3E7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第八条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不涉及财产利益关系的法律事务，一般可选择计件收费、计时收费或者按不同的诉讼程序分阶段收费的方式收取律师服务费。</w:t>
      </w:r>
    </w:p>
    <w:p w14:paraId="47FFE1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第九条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选择计件收费的，原则上按下列标准范围与委托人商定：</w:t>
      </w:r>
    </w:p>
    <w:p w14:paraId="45715C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—10</w:t>
      </w:r>
      <w:r>
        <w:rPr>
          <w:rFonts w:ascii="Times New Roman" w:hAnsi="仿宋" w:eastAsia="仿宋" w:cs="Times New Roman"/>
          <w:color w:val="000000"/>
          <w:sz w:val="32"/>
          <w:szCs w:val="32"/>
        </w:rPr>
        <w:t>万元。</w:t>
      </w:r>
    </w:p>
    <w:p w14:paraId="16832E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（二）担任国家机关、企事业单位、其他组织以及自然人的常年法律顾问，可按年度计件收费，每年度</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p>
    <w:p w14:paraId="42D5A7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—40</w:t>
      </w:r>
      <w:r>
        <w:rPr>
          <w:rFonts w:ascii="Times New Roman" w:hAnsi="仿宋" w:eastAsia="仿宋" w:cs="Times New Roman"/>
          <w:color w:val="000000"/>
          <w:sz w:val="32"/>
          <w:szCs w:val="32"/>
        </w:rPr>
        <w:t>万元。</w:t>
      </w:r>
    </w:p>
    <w:p w14:paraId="0210A7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（四）立法调研、起草或者修改法律法规、规范性文件、课题调研、清理规范性文件等，可按件收费，每件</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万</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p>
    <w:p w14:paraId="3D12FDF0">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选择计时收费的，可按每位律师每小时</w:t>
      </w:r>
      <w:r>
        <w:rPr>
          <w:rFonts w:ascii="Times New Roman" w:hAnsi="Times New Roman" w:eastAsia="仿宋" w:cs="Times New Roman"/>
          <w:color w:val="000000"/>
          <w:sz w:val="32"/>
          <w:szCs w:val="32"/>
        </w:rPr>
        <w:t>300</w:t>
      </w:r>
      <w:r>
        <w:rPr>
          <w:rFonts w:ascii="Times New Roman" w:hAnsi="仿宋" w:eastAsia="仿宋" w:cs="Times New Roman"/>
          <w:color w:val="000000"/>
          <w:sz w:val="32"/>
          <w:szCs w:val="32"/>
        </w:rPr>
        <w:t>元至</w:t>
      </w:r>
      <w:r>
        <w:rPr>
          <w:rFonts w:ascii="Times New Roman" w:hAnsi="Times New Roman" w:eastAsia="仿宋" w:cs="Times New Roman"/>
          <w:color w:val="000000"/>
          <w:sz w:val="32"/>
          <w:szCs w:val="32"/>
        </w:rPr>
        <w:t>6,000</w:t>
      </w:r>
      <w:r>
        <w:rPr>
          <w:rFonts w:ascii="Times New Roman" w:hAnsi="仿宋" w:eastAsia="仿宋" w:cs="Times New Roman"/>
          <w:color w:val="000000"/>
          <w:sz w:val="32"/>
          <w:szCs w:val="32"/>
        </w:rPr>
        <w:t>元收取律师服务费，承办律师为二人以上的，以各自的计费标准和计费工作时间分别计算。</w:t>
      </w:r>
    </w:p>
    <w:p w14:paraId="1BC990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sz w:val="32"/>
          <w:szCs w:val="32"/>
        </w:rPr>
        <w:t>计费工作时间是律师办理委托事项的有效工作时间，</w:t>
      </w:r>
      <w:r>
        <w:rPr>
          <w:rFonts w:ascii="Times New Roman" w:hAnsi="仿宋" w:eastAsia="仿宋" w:cs="Times New Roman"/>
          <w:color w:val="000000"/>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655740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不涉及财产关系的法律事项选择按诉讼程序分阶段收费的，每个阶段可以在</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-30</w:t>
      </w:r>
      <w:r>
        <w:rPr>
          <w:rFonts w:ascii="Times New Roman" w:hAnsi="仿宋" w:eastAsia="仿宋" w:cs="Times New Roman"/>
          <w:color w:val="000000"/>
          <w:sz w:val="32"/>
          <w:szCs w:val="32"/>
        </w:rPr>
        <w:t>万元范围内收取律师服务费。</w:t>
      </w:r>
    </w:p>
    <w:p w14:paraId="6151EE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第二节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涉及财产关系的固定代理收费</w:t>
      </w:r>
    </w:p>
    <w:p w14:paraId="4FDCDA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第十二条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color w:val="000000"/>
          <w:sz w:val="32"/>
          <w:szCs w:val="32"/>
        </w:rPr>
        <w:t>:</w:t>
      </w:r>
    </w:p>
    <w:p w14:paraId="4D4D62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万元以下部分收费比例为</w:t>
      </w:r>
      <w:r>
        <w:rPr>
          <w:rFonts w:ascii="Times New Roman" w:hAnsi="Times New Roman" w:eastAsia="仿宋" w:cs="Times New Roman"/>
          <w:color w:val="000000"/>
          <w:sz w:val="32"/>
          <w:szCs w:val="32"/>
        </w:rPr>
        <w:t>6%-9%</w:t>
      </w:r>
      <w:r>
        <w:rPr>
          <w:rFonts w:ascii="Times New Roman" w:hAnsi="仿宋" w:eastAsia="仿宋" w:cs="Times New Roman"/>
          <w:color w:val="000000"/>
          <w:sz w:val="32"/>
          <w:szCs w:val="32"/>
        </w:rPr>
        <w:t>，最低不少于</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元；</w:t>
      </w:r>
    </w:p>
    <w:p w14:paraId="48C39A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万元至</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万元部分为</w:t>
      </w:r>
      <w:r>
        <w:rPr>
          <w:rFonts w:ascii="Times New Roman" w:hAnsi="Times New Roman" w:eastAsia="仿宋" w:cs="Times New Roman"/>
          <w:color w:val="000000"/>
          <w:sz w:val="32"/>
          <w:szCs w:val="32"/>
        </w:rPr>
        <w:t>4%-7%</w:t>
      </w:r>
      <w:r>
        <w:rPr>
          <w:rFonts w:ascii="Times New Roman" w:hAnsi="仿宋" w:eastAsia="仿宋" w:cs="Times New Roman"/>
          <w:color w:val="000000"/>
          <w:sz w:val="32"/>
          <w:szCs w:val="32"/>
        </w:rPr>
        <w:t>；</w:t>
      </w:r>
    </w:p>
    <w:p w14:paraId="328640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万元至</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万元部分为</w:t>
      </w:r>
      <w:r>
        <w:rPr>
          <w:rFonts w:ascii="Times New Roman" w:hAnsi="Times New Roman" w:eastAsia="仿宋" w:cs="Times New Roman"/>
          <w:color w:val="000000"/>
          <w:sz w:val="32"/>
          <w:szCs w:val="32"/>
        </w:rPr>
        <w:t>2%-5%;</w:t>
      </w:r>
    </w:p>
    <w:p w14:paraId="1C6BA3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万元以上部分，为</w:t>
      </w:r>
      <w:r>
        <w:rPr>
          <w:rFonts w:ascii="Times New Roman" w:hAnsi="Times New Roman" w:eastAsia="仿宋" w:cs="Times New Roman"/>
          <w:color w:val="000000"/>
          <w:sz w:val="32"/>
          <w:szCs w:val="32"/>
        </w:rPr>
        <w:t>1%-3%</w:t>
      </w:r>
      <w:r>
        <w:rPr>
          <w:rFonts w:ascii="Times New Roman" w:hAnsi="仿宋" w:eastAsia="仿宋" w:cs="Times New Roman"/>
          <w:color w:val="000000"/>
          <w:sz w:val="32"/>
          <w:szCs w:val="32"/>
        </w:rPr>
        <w:t>。</w:t>
      </w:r>
    </w:p>
    <w:p w14:paraId="0361091C">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w:t>
      </w:r>
      <w:r>
        <w:rPr>
          <w:rFonts w:ascii="Times New Roman" w:hAnsi="仿宋" w:eastAsia="仿宋" w:cs="Times New Roman"/>
          <w:sz w:val="32"/>
          <w:szCs w:val="32"/>
        </w:rPr>
        <w:t>可以给予下浮不超过</w:t>
      </w:r>
      <w:r>
        <w:rPr>
          <w:rFonts w:ascii="Times New Roman" w:hAnsi="Times New Roman" w:eastAsia="仿宋" w:cs="Times New Roman"/>
          <w:sz w:val="32"/>
          <w:szCs w:val="32"/>
        </w:rPr>
        <w:t>20%</w:t>
      </w:r>
      <w:r>
        <w:rPr>
          <w:rFonts w:ascii="Times New Roman" w:hAnsi="仿宋" w:eastAsia="仿宋" w:cs="Times New Roman"/>
          <w:sz w:val="32"/>
          <w:szCs w:val="32"/>
        </w:rPr>
        <w:t>的优惠。</w:t>
      </w:r>
      <w:r>
        <w:rPr>
          <w:rFonts w:ascii="Times New Roman" w:hAnsi="仿宋" w:eastAsia="仿宋" w:cs="Times New Roman"/>
          <w:color w:val="000000"/>
          <w:sz w:val="32"/>
          <w:szCs w:val="32"/>
        </w:rPr>
        <w:t>同时代理本诉、本请求和反诉、反请求案件的，反诉、反请求按标的额以民事诉讼案件一审阶段的收费标准酌减收费，不得低于</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w:t>
      </w:r>
    </w:p>
    <w:p w14:paraId="71FAB5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投融资、上市、并购、重组、改制、破产、清算、公司设立、公司治理结构设计、股权及债权债务转让等，参照第十二条标准收费，国家如有相关规定的从其规定予以收费。</w:t>
      </w:r>
    </w:p>
    <w:p w14:paraId="3C51A7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第十五条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单独承办的执行案件，根据执行标的额，按一审阶段标准收费；曾承办一审或二审的案件，可按一审阶段收费标准优惠</w:t>
      </w:r>
      <w:r>
        <w:rPr>
          <w:rFonts w:ascii="Times New Roman" w:hAnsi="Times New Roman" w:eastAsia="仿宋" w:cs="Times New Roman"/>
          <w:color w:val="000000"/>
          <w:sz w:val="32"/>
          <w:szCs w:val="32"/>
        </w:rPr>
        <w:t>10%-30%</w:t>
      </w:r>
      <w:r>
        <w:rPr>
          <w:rFonts w:ascii="Times New Roman" w:hAnsi="仿宋" w:eastAsia="仿宋" w:cs="Times New Roman"/>
          <w:color w:val="000000"/>
          <w:sz w:val="32"/>
          <w:szCs w:val="32"/>
        </w:rPr>
        <w:t>收费，代理执行案件也可采用风险代理或计时收费（不能采取风险代理的案件除外）。</w:t>
      </w:r>
    </w:p>
    <w:p w14:paraId="49EF65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第三节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涉及财产关系的风险代理收费</w:t>
      </w:r>
    </w:p>
    <w:p w14:paraId="5BA415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第十六条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风险代理各个环节收取的律师服务费合计最高金额应当符合下列标准：</w:t>
      </w:r>
    </w:p>
    <w:p w14:paraId="21C169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（一）标的额不足人民币</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8%-18%</w:t>
      </w:r>
      <w:r>
        <w:rPr>
          <w:rFonts w:ascii="Times New Roman" w:hAnsi="仿宋" w:eastAsia="仿宋" w:cs="Times New Roman"/>
          <w:color w:val="000000"/>
          <w:sz w:val="32"/>
          <w:szCs w:val="32"/>
        </w:rPr>
        <w:t>计算；</w:t>
      </w:r>
    </w:p>
    <w:p w14:paraId="0CCBCE4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（二）标的额在人民币</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7%-15%</w:t>
      </w:r>
      <w:r>
        <w:rPr>
          <w:rFonts w:ascii="Times New Roman" w:hAnsi="仿宋" w:eastAsia="仿宋" w:cs="Times New Roman"/>
          <w:color w:val="000000"/>
          <w:sz w:val="32"/>
          <w:szCs w:val="32"/>
        </w:rPr>
        <w:t>计算；</w:t>
      </w:r>
    </w:p>
    <w:p w14:paraId="279E22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（三）标的额在人民币</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6%-12%</w:t>
      </w:r>
      <w:r>
        <w:rPr>
          <w:rFonts w:ascii="Times New Roman" w:hAnsi="仿宋" w:eastAsia="仿宋" w:cs="Times New Roman"/>
          <w:color w:val="000000"/>
          <w:sz w:val="32"/>
          <w:szCs w:val="32"/>
        </w:rPr>
        <w:t>计算；</w:t>
      </w:r>
    </w:p>
    <w:p w14:paraId="72DC52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（四）标的额在人民币</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5%-9%</w:t>
      </w:r>
      <w:r>
        <w:rPr>
          <w:rFonts w:ascii="Times New Roman" w:hAnsi="仿宋" w:eastAsia="仿宋" w:cs="Times New Roman"/>
          <w:color w:val="000000"/>
          <w:sz w:val="32"/>
          <w:szCs w:val="32"/>
        </w:rPr>
        <w:t>计算；</w:t>
      </w:r>
    </w:p>
    <w:p w14:paraId="2BE6BE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（五）标的额在人民币</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万元以上的部分，按</w:t>
      </w:r>
      <w:r>
        <w:rPr>
          <w:rFonts w:ascii="Times New Roman" w:hAnsi="Times New Roman" w:eastAsia="仿宋" w:cs="Times New Roman"/>
          <w:color w:val="000000"/>
          <w:sz w:val="32"/>
          <w:szCs w:val="32"/>
        </w:rPr>
        <w:t>4%-6%</w:t>
      </w:r>
      <w:r>
        <w:rPr>
          <w:rFonts w:ascii="Times New Roman" w:hAnsi="仿宋" w:eastAsia="仿宋" w:cs="Times New Roman"/>
          <w:color w:val="000000"/>
          <w:sz w:val="32"/>
          <w:szCs w:val="32"/>
        </w:rPr>
        <w:t>计算。</w:t>
      </w:r>
    </w:p>
    <w:p w14:paraId="7E809A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7F25CB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sz w:val="32"/>
          <w:szCs w:val="32"/>
        </w:rPr>
        <w:t>第十七条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5BEAB6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在订立风险代理合同过程中，律师或律师事务所应当按相关规定向委托人履行提示义务和告知义务</w:t>
      </w:r>
      <w:r>
        <w:rPr>
          <w:rFonts w:ascii="Times New Roman" w:hAnsi="仿宋" w:eastAsia="仿宋" w:cs="Times New Roman"/>
          <w:color w:val="000000"/>
          <w:kern w:val="2"/>
          <w:sz w:val="32"/>
          <w:szCs w:val="32"/>
        </w:rPr>
        <w:t>。</w:t>
      </w:r>
    </w:p>
    <w:p w14:paraId="69EAF7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第四节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不能采取风险代理收费</w:t>
      </w:r>
    </w:p>
    <w:p w14:paraId="16F2A5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第十八条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下列案件不能采取或变相采取风险代理收费方式：</w:t>
      </w:r>
    </w:p>
    <w:p w14:paraId="37D88B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（一）刑事诉讼案件；</w:t>
      </w:r>
    </w:p>
    <w:p w14:paraId="0B1FC5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（二）行政诉讼案件；</w:t>
      </w:r>
    </w:p>
    <w:p w14:paraId="25C34B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（三）国家赔偿案件；</w:t>
      </w:r>
    </w:p>
    <w:p w14:paraId="2028EC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（四）群体性诉讼案件；</w:t>
      </w:r>
    </w:p>
    <w:p w14:paraId="330C8C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（五）婚姻继承案件；</w:t>
      </w:r>
    </w:p>
    <w:p w14:paraId="5047FA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color w:val="000000"/>
          <w:sz w:val="32"/>
          <w:szCs w:val="32"/>
        </w:rPr>
      </w:pPr>
      <w:r>
        <w:rPr>
          <w:rFonts w:ascii="Times New Roman" w:hAnsi="仿宋" w:eastAsia="仿宋" w:cs="Times New Roman"/>
          <w:color w:val="000000"/>
          <w:sz w:val="32"/>
          <w:szCs w:val="32"/>
        </w:rPr>
        <w:t>（六）请求给予社会保险待遇、最低生活保障待遇、赡养费、抚养费、扶养费、抚恤金、救济金、工伤赔偿、劳动报酬的案件。</w:t>
      </w:r>
    </w:p>
    <w:p w14:paraId="15C5F3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第十九条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63CA19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D21467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F4875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5CAA5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08B24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8B641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EBBE2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EC11DE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E7BAC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54E05D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10.</w:t>
      </w: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3B6CBCA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也可按标的额的百分比进行收费（具体收费比例可参照本标准中民事诉讼收费标准予以收取，由委托人与本所协商确定，但律师收取的服务费总金额不得低于相同标的额民事案件一审应当收取的费用）。</w:t>
      </w:r>
    </w:p>
    <w:p w14:paraId="66479F7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刑事附带民事案件的律师费用参照本标准中民事诉讼收费标准予以收取。</w:t>
      </w:r>
    </w:p>
    <w:p w14:paraId="2A5AAB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不能采取或变相采取风险代理收费的（二）至（六）项参照本标准中民事诉讼收费标准予以收取。</w:t>
      </w:r>
    </w:p>
    <w:p w14:paraId="201AFA00">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第二十一条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代理国家赔偿案件可实行计件收费，每件收取</w:t>
      </w:r>
      <w:r>
        <w:rPr>
          <w:rFonts w:ascii="Times New Roman" w:hAnsi="Times New Roman" w:eastAsia="仿宋" w:cs="Times New Roman"/>
          <w:color w:val="000000"/>
          <w:sz w:val="32"/>
          <w:szCs w:val="32"/>
        </w:rPr>
        <w:t>20,000</w:t>
      </w:r>
      <w:r>
        <w:rPr>
          <w:rFonts w:ascii="Times New Roman" w:hAnsi="仿宋" w:eastAsia="仿宋" w:cs="Times New Roman"/>
          <w:color w:val="000000"/>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20C2FB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第二十二条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代理行政诉讼一审、二审、发回重审、复议、听证、申诉等案件的收费标准，参照本收费标准执行，但不得适用风险代理收费。</w:t>
      </w:r>
    </w:p>
    <w:p w14:paraId="532FD261">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第三章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上浮收费标准</w:t>
      </w:r>
    </w:p>
    <w:p w14:paraId="0967DC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第二十三条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color w:val="000000"/>
          <w:sz w:val="32"/>
          <w:szCs w:val="32"/>
        </w:rPr>
        <w:t>xx</w:t>
      </w:r>
      <w:r>
        <w:rPr>
          <w:rFonts w:ascii="Times New Roman" w:hAnsi="仿宋" w:eastAsia="仿宋" w:cs="Times New Roman"/>
          <w:color w:val="000000"/>
          <w:sz w:val="32"/>
          <w:szCs w:val="32"/>
        </w:rPr>
        <w:t>倍收费。</w:t>
      </w:r>
    </w:p>
    <w:p w14:paraId="238D55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涉外（含涉港、澳、台）案件的收费标准，原则上按照本收费标准上浮</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执行。如果涉及到多语种法律服务的，可以在标准基础上再上浮不超过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倍收费。经委托人同意，也可以由本所参照外国或港、澳、台地区律师事务所驻我国代表机构办理同类法律事务的收费标准，与委托人协商确定收费数额。</w:t>
      </w:r>
    </w:p>
    <w:p w14:paraId="6744044F">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第二十五条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倍收费。下列案件为重大、疑难、复杂民事诉讼、仲裁案件：</w:t>
      </w:r>
    </w:p>
    <w:p w14:paraId="692A945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由中级以上人民法院受理一审的案件；</w:t>
      </w:r>
    </w:p>
    <w:p w14:paraId="60D435C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当事人一方人数在</w:t>
      </w:r>
      <w:r>
        <w:rPr>
          <w:rFonts w:ascii="Times New Roman" w:hAnsi="Times New Roman" w:eastAsia="仿宋" w:cs="Times New Roman"/>
          <w:color w:val="000000"/>
          <w:sz w:val="32"/>
          <w:szCs w:val="32"/>
        </w:rPr>
        <w:t xml:space="preserve">3 </w:t>
      </w:r>
      <w:r>
        <w:rPr>
          <w:rFonts w:ascii="Times New Roman" w:hAnsi="仿宋" w:eastAsia="仿宋" w:cs="Times New Roman"/>
          <w:color w:val="000000"/>
          <w:sz w:val="32"/>
          <w:szCs w:val="32"/>
        </w:rPr>
        <w:t>人及</w:t>
      </w:r>
      <w:r>
        <w:rPr>
          <w:rFonts w:ascii="Times New Roman" w:hAnsi="Times New Roman" w:eastAsia="仿宋" w:cs="Times New Roman"/>
          <w:color w:val="000000"/>
          <w:sz w:val="32"/>
          <w:szCs w:val="32"/>
        </w:rPr>
        <w:t xml:space="preserve">3 </w:t>
      </w:r>
      <w:r>
        <w:rPr>
          <w:rFonts w:ascii="Times New Roman" w:hAnsi="仿宋" w:eastAsia="仿宋" w:cs="Times New Roman"/>
          <w:color w:val="000000"/>
          <w:sz w:val="32"/>
          <w:szCs w:val="32"/>
        </w:rPr>
        <w:t>人以上的共同诉讼案件；</w:t>
      </w:r>
    </w:p>
    <w:p w14:paraId="75ED924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知识产权纠纷案、不正当竞争纠纷案、商誉权、名誉权纠纷等案件；</w:t>
      </w:r>
    </w:p>
    <w:p w14:paraId="79DDF76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w:t>
      </w:r>
      <w:r>
        <w:rPr>
          <w:rFonts w:ascii="Times New Roman" w:hAnsi="仿宋" w:eastAsia="仿宋" w:cs="Times New Roman"/>
          <w:color w:val="000000"/>
          <w:sz w:val="32"/>
          <w:szCs w:val="32"/>
        </w:rPr>
        <w:t>取证困难的案件；</w:t>
      </w:r>
    </w:p>
    <w:p w14:paraId="093D146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新类型案件；</w:t>
      </w:r>
    </w:p>
    <w:p w14:paraId="0FD6248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涉及两个以上法律关系的案件；</w:t>
      </w:r>
    </w:p>
    <w:p w14:paraId="11999CC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w:t>
      </w:r>
      <w:r>
        <w:rPr>
          <w:rFonts w:ascii="Times New Roman" w:hAnsi="仿宋" w:eastAsia="仿宋" w:cs="Times New Roman"/>
          <w:color w:val="000000"/>
          <w:sz w:val="32"/>
          <w:szCs w:val="32"/>
        </w:rPr>
        <w:t>涉及专业知识，需要聘请具备非法律专业知识的人员协助方能办理的案件；</w:t>
      </w:r>
    </w:p>
    <w:p w14:paraId="3E0E60C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w:t>
      </w:r>
      <w:r>
        <w:rPr>
          <w:rFonts w:ascii="Times New Roman" w:hAnsi="仿宋" w:eastAsia="仿宋" w:cs="Times New Roman"/>
          <w:color w:val="000000"/>
          <w:sz w:val="32"/>
          <w:szCs w:val="32"/>
        </w:rPr>
        <w:t>其他经本所与委托人协商，双方认为属于重大、疑难、复杂的民事诉讼、仲裁案件。</w:t>
      </w:r>
    </w:p>
    <w:p w14:paraId="78101D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第二十六条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代理民事申诉案件，按照代理民事诉讼案件按一审阶段收费标准</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倍收费；重大、疑难、复杂及律师工作量大的民事申诉案件可以上浮不超过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倍收费，亦可按本收费标准进行风险代理或者计时收费。</w:t>
      </w:r>
    </w:p>
    <w:p w14:paraId="634760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第二十七条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单独承办执行案件，如执行难度大，执行程序复杂的重大执行案件，按一审阶段收费标准</w:t>
      </w:r>
      <w:r>
        <w:rPr>
          <w:rFonts w:ascii="Times New Roman" w:hAnsi="Times New Roman" w:eastAsia="仿宋" w:cs="Times New Roman"/>
          <w:color w:val="000000"/>
          <w:sz w:val="32"/>
          <w:szCs w:val="32"/>
        </w:rPr>
        <w:t>x</w:t>
      </w:r>
      <w:r>
        <w:rPr>
          <w:rFonts w:ascii="Times New Roman" w:hAnsi="仿宋" w:eastAsia="仿宋" w:cs="Times New Roman"/>
          <w:color w:val="000000"/>
          <w:sz w:val="32"/>
          <w:szCs w:val="32"/>
        </w:rPr>
        <w:t>倍收费。</w:t>
      </w:r>
    </w:p>
    <w:p w14:paraId="1C6FA5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第二十八条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办理异地、重大、疑难、复杂、社会影响较大的刑事诉讼案件，可以在本收费标准中刑事收费标准基础</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倍之内</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含</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倍</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协商确定收费。</w:t>
      </w:r>
    </w:p>
    <w:p w14:paraId="5A4BBEE7">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color w:val="000000"/>
          <w:sz w:val="32"/>
          <w:szCs w:val="32"/>
        </w:rPr>
      </w:pPr>
      <w:r>
        <w:rPr>
          <w:rFonts w:ascii="Times New Roman" w:hAnsi="仿宋" w:eastAsia="仿宋" w:cs="Times New Roman"/>
          <w:b/>
          <w:bCs/>
          <w:color w:val="000000"/>
          <w:sz w:val="32"/>
          <w:szCs w:val="32"/>
        </w:rPr>
        <w:t>第二十九条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color w:val="000000"/>
          <w:kern w:val="0"/>
          <w:sz w:val="32"/>
          <w:szCs w:val="32"/>
        </w:rPr>
        <w:t>50%</w:t>
      </w:r>
      <w:r>
        <w:rPr>
          <w:rFonts w:ascii="Times New Roman" w:hAnsi="仿宋" w:eastAsia="仿宋" w:cs="Times New Roman"/>
          <w:color w:val="000000"/>
          <w:kern w:val="0"/>
          <w:sz w:val="32"/>
          <w:szCs w:val="32"/>
        </w:rPr>
        <w:t>至</w:t>
      </w:r>
      <w:r>
        <w:rPr>
          <w:rFonts w:ascii="Times New Roman" w:hAnsi="Times New Roman" w:eastAsia="仿宋" w:cs="Times New Roman"/>
          <w:color w:val="000000"/>
          <w:kern w:val="0"/>
          <w:sz w:val="32"/>
          <w:szCs w:val="32"/>
        </w:rPr>
        <w:t>3</w:t>
      </w:r>
      <w:r>
        <w:rPr>
          <w:rFonts w:ascii="Times New Roman" w:hAnsi="仿宋" w:eastAsia="仿宋" w:cs="Times New Roman"/>
          <w:color w:val="000000"/>
          <w:kern w:val="0"/>
          <w:sz w:val="32"/>
          <w:szCs w:val="32"/>
        </w:rPr>
        <w:t>倍收费。</w:t>
      </w:r>
    </w:p>
    <w:p w14:paraId="62C0AA76">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center"/>
        <w:textAlignment w:val="auto"/>
        <w:rPr>
          <w:rFonts w:ascii="Times New Roman" w:hAnsi="Times New Roman" w:eastAsia="黑体" w:cs="Times New Roman"/>
          <w:color w:val="000000"/>
          <w:sz w:val="32"/>
          <w:szCs w:val="32"/>
        </w:rPr>
      </w:pPr>
      <w:r>
        <w:rPr>
          <w:rFonts w:ascii="Times New Roman" w:hAnsi="黑体" w:eastAsia="黑体" w:cs="Times New Roman"/>
          <w:bCs/>
          <w:color w:val="000000"/>
          <w:sz w:val="32"/>
          <w:szCs w:val="32"/>
        </w:rPr>
        <w:t>第四章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其他说明</w:t>
      </w:r>
    </w:p>
    <w:p w14:paraId="0A9275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color w:val="000000"/>
          <w:sz w:val="32"/>
          <w:szCs w:val="32"/>
        </w:rPr>
      </w:pPr>
      <w:r>
        <w:rPr>
          <w:rFonts w:ascii="Times New Roman" w:hAnsi="仿宋" w:eastAsia="仿宋" w:cs="Times New Roman"/>
          <w:b/>
          <w:bCs/>
          <w:color w:val="000000"/>
          <w:sz w:val="32"/>
          <w:szCs w:val="32"/>
        </w:rPr>
        <w:t>第三十条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其他收费方式根据委托事项的实际情况，由律师与委托人协商一致，由律师事务所与委托人在律师服务收费合同或者在委托代理合同中确定，但不得违反国家、省相关文件的规定。</w:t>
      </w:r>
    </w:p>
    <w:p w14:paraId="2C03EE5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49CEB180">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第三十二条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对办理涉及农民工、残疾人等弱势群体或者与公益活动有关的法律服务事项，可以酌情减免律师服务费。</w:t>
      </w:r>
    </w:p>
    <w:p w14:paraId="09FFDCB0">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律师接受指派的法律援助案件，不得向受援人收取任何费用。</w:t>
      </w:r>
    </w:p>
    <w:p w14:paraId="66DA8B2E">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律师在办理委托事项过程中，如发现委托人符合法律援助条件的，应告知委托人可以申请法律援助。</w:t>
      </w:r>
    </w:p>
    <w:p w14:paraId="4A53669A">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51671128">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第五章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附则</w:t>
      </w:r>
    </w:p>
    <w:p w14:paraId="2A7F9E5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color w:val="000000"/>
          <w:kern w:val="0"/>
          <w:sz w:val="32"/>
          <w:szCs w:val="32"/>
        </w:rPr>
      </w:pPr>
      <w:r>
        <w:rPr>
          <w:rFonts w:ascii="Times New Roman" w:hAnsi="仿宋" w:eastAsia="仿宋" w:cs="Times New Roman"/>
          <w:b/>
          <w:bCs/>
          <w:color w:val="000000"/>
          <w:kern w:val="0"/>
          <w:sz w:val="32"/>
          <w:szCs w:val="32"/>
        </w:rPr>
        <w:t>第三十五条</w:t>
      </w:r>
      <w:r>
        <w:rPr>
          <w:rFonts w:ascii="Times New Roman" w:hAnsi="Times New Roman" w:eastAsia="仿宋" w:cs="Times New Roman"/>
          <w:color w:val="000000"/>
          <w:kern w:val="0"/>
          <w:sz w:val="32"/>
          <w:szCs w:val="32"/>
        </w:rPr>
        <w:t xml:space="preserve"> </w:t>
      </w:r>
      <w:r>
        <w:rPr>
          <w:rFonts w:ascii="Times New Roman" w:hAnsi="仿宋" w:eastAsia="仿宋" w:cs="Times New Roman"/>
          <w:color w:val="000000"/>
          <w:kern w:val="0"/>
          <w:sz w:val="32"/>
          <w:szCs w:val="32"/>
        </w:rPr>
        <w:t>本收费标准应当按照相关规定予以备案，并在所内以公开方式公布已备案的律师服务收费标准，律师事务所全体律师严格遵照执行，并接受社会监督。</w:t>
      </w:r>
    </w:p>
    <w:p w14:paraId="2002FD80">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color w:val="000000"/>
          <w:kern w:val="0"/>
          <w:sz w:val="32"/>
          <w:szCs w:val="32"/>
        </w:rPr>
        <w:t>第三十六条</w:t>
      </w:r>
      <w:r>
        <w:rPr>
          <w:rFonts w:ascii="Times New Roman" w:hAnsi="Times New Roman" w:eastAsia="仿宋" w:cs="Times New Roman"/>
          <w:color w:val="000000"/>
          <w:kern w:val="0"/>
          <w:sz w:val="32"/>
          <w:szCs w:val="32"/>
        </w:rPr>
        <w:t xml:space="preserve"> </w:t>
      </w:r>
      <w:r>
        <w:rPr>
          <w:rFonts w:ascii="Times New Roman" w:hAnsi="仿宋" w:eastAsia="仿宋" w:cs="Times New Roman"/>
          <w:color w:val="000000"/>
          <w:kern w:val="0"/>
          <w:sz w:val="32"/>
          <w:szCs w:val="32"/>
        </w:rPr>
        <w:t>本收费标准按照规定在德阳市律师协会同意备案后生效。</w:t>
      </w:r>
    </w:p>
    <w:p w14:paraId="7DBE4A16">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126F2EC6">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2C50C497">
      <w:pPr>
        <w:keepNext w:val="0"/>
        <w:keepLines w:val="0"/>
        <w:pageBreakBefore w:val="0"/>
        <w:kinsoku/>
        <w:wordWrap w:val="0"/>
        <w:overflowPunct/>
        <w:topLinePunct w:val="0"/>
        <w:autoSpaceDE/>
        <w:autoSpaceDN/>
        <w:bidi w:val="0"/>
        <w:adjustRightInd w:val="0"/>
        <w:snapToGrid w:val="0"/>
        <w:spacing w:line="54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78489B78">
      <w:pPr>
        <w:keepNext w:val="0"/>
        <w:keepLines w:val="0"/>
        <w:pageBreakBefore w:val="0"/>
        <w:kinsoku/>
        <w:wordWrap w:val="0"/>
        <w:overflowPunct/>
        <w:topLinePunct w:val="0"/>
        <w:autoSpaceDE/>
        <w:autoSpaceDN/>
        <w:bidi w:val="0"/>
        <w:adjustRightInd w:val="0"/>
        <w:snapToGrid w:val="0"/>
        <w:spacing w:line="54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349"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6D3F">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2255AE7">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4731F"/>
    <w:rsid w:val="00060B2C"/>
    <w:rsid w:val="00086D6F"/>
    <w:rsid w:val="000A5223"/>
    <w:rsid w:val="00150461"/>
    <w:rsid w:val="00163348"/>
    <w:rsid w:val="001702D6"/>
    <w:rsid w:val="00176683"/>
    <w:rsid w:val="001B2CA9"/>
    <w:rsid w:val="002644D8"/>
    <w:rsid w:val="0026763C"/>
    <w:rsid w:val="00287CA0"/>
    <w:rsid w:val="0029346F"/>
    <w:rsid w:val="002A714E"/>
    <w:rsid w:val="002A728B"/>
    <w:rsid w:val="002B64F3"/>
    <w:rsid w:val="002B66A4"/>
    <w:rsid w:val="002E0982"/>
    <w:rsid w:val="002F49BF"/>
    <w:rsid w:val="003406C2"/>
    <w:rsid w:val="003517FF"/>
    <w:rsid w:val="003B4A86"/>
    <w:rsid w:val="00404C3D"/>
    <w:rsid w:val="004128C2"/>
    <w:rsid w:val="00431B43"/>
    <w:rsid w:val="0049557C"/>
    <w:rsid w:val="004C268B"/>
    <w:rsid w:val="004D1774"/>
    <w:rsid w:val="004D70C4"/>
    <w:rsid w:val="005245C8"/>
    <w:rsid w:val="00557E26"/>
    <w:rsid w:val="00567584"/>
    <w:rsid w:val="00576AF9"/>
    <w:rsid w:val="00677DBB"/>
    <w:rsid w:val="006C311F"/>
    <w:rsid w:val="006C6CD7"/>
    <w:rsid w:val="006D2106"/>
    <w:rsid w:val="006D6BB3"/>
    <w:rsid w:val="00751D1A"/>
    <w:rsid w:val="007752D3"/>
    <w:rsid w:val="007B2EEE"/>
    <w:rsid w:val="007D09B9"/>
    <w:rsid w:val="008542A3"/>
    <w:rsid w:val="00892619"/>
    <w:rsid w:val="008C65AC"/>
    <w:rsid w:val="008F3723"/>
    <w:rsid w:val="00912D78"/>
    <w:rsid w:val="00915DD7"/>
    <w:rsid w:val="009928C2"/>
    <w:rsid w:val="009A49A1"/>
    <w:rsid w:val="009B0D09"/>
    <w:rsid w:val="009B2BF1"/>
    <w:rsid w:val="009C07BC"/>
    <w:rsid w:val="009C08AA"/>
    <w:rsid w:val="00A40DB8"/>
    <w:rsid w:val="00A5775E"/>
    <w:rsid w:val="00A75AA1"/>
    <w:rsid w:val="00B718AA"/>
    <w:rsid w:val="00BB26EC"/>
    <w:rsid w:val="00BF6BC4"/>
    <w:rsid w:val="00C31312"/>
    <w:rsid w:val="00C42A1D"/>
    <w:rsid w:val="00CB26F6"/>
    <w:rsid w:val="00CE1660"/>
    <w:rsid w:val="00D0276C"/>
    <w:rsid w:val="00D23FC9"/>
    <w:rsid w:val="00D246FF"/>
    <w:rsid w:val="00D40349"/>
    <w:rsid w:val="00D94AA5"/>
    <w:rsid w:val="00DC11B8"/>
    <w:rsid w:val="00E02884"/>
    <w:rsid w:val="00E53727"/>
    <w:rsid w:val="00E64635"/>
    <w:rsid w:val="00E7708B"/>
    <w:rsid w:val="00EA5D3A"/>
    <w:rsid w:val="00EF32BA"/>
    <w:rsid w:val="00F618B6"/>
    <w:rsid w:val="00F73074"/>
    <w:rsid w:val="00F93C17"/>
    <w:rsid w:val="00FB0721"/>
    <w:rsid w:val="00FE2E7F"/>
    <w:rsid w:val="317471B0"/>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4724</Words>
  <Characters>4911</Characters>
  <Lines>36</Lines>
  <Paragraphs>10</Paragraphs>
  <TotalTime>2</TotalTime>
  <ScaleCrop>false</ScaleCrop>
  <LinksUpToDate>false</LinksUpToDate>
  <CharactersWithSpaces>4986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2025-05-23T02:26:00Z</cp:lastPrinted>
  <dcterms:modified xsi:type="dcterms:W3CDTF">2025-05-23T02:26:46Z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