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bookmarkStart w:id="1" w:name="_GoBack"/>
      <w:bookmarkEnd w:id="1"/>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F6892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号）及省上相关规定，本会对四川环峰律师事务所提交的《四川环峰律师事务所律师服务收费标准》已审查完毕，相关内容符合相关规定，本会同意备案人的备案申请，该收费标准自备案之日起至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D26E5E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2D321549">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四川环峰律师事务所律师服务收费标准</w:t>
      </w:r>
    </w:p>
    <w:p w14:paraId="1F6EEA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8FA4E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25910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BAA51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律师事务所接受委托办理法律事务，向委托人收取的服务报酬。</w:t>
      </w:r>
    </w:p>
    <w:p w14:paraId="7F8C698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它费用，不属于律师服务费的，由委托人另行支付。</w:t>
      </w:r>
    </w:p>
    <w:p w14:paraId="3F240A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495C1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E4C13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30DDC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BAB59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以上收费方式，在同一法律服务办理的不同阶段，可以选择同一种方式，也可以选择不同方式。</w:t>
      </w:r>
    </w:p>
    <w:p w14:paraId="51013C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仿宋"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w:t>
      </w:r>
      <w:r>
        <w:rPr>
          <w:rFonts w:hint="eastAsia" w:ascii="Times New Roman" w:hAnsi="仿宋" w:eastAsia="仿宋" w:cs="Times New Roman"/>
          <w:kern w:val="2"/>
          <w:sz w:val="32"/>
          <w:szCs w:val="32"/>
        </w:rPr>
        <w:t>应当督促律师在代收款项后</w:t>
      </w:r>
      <w:r>
        <w:rPr>
          <w:rFonts w:ascii="Times New Roman" w:hAnsi="仿宋" w:eastAsia="仿宋" w:cs="Times New Roman"/>
          <w:kern w:val="2"/>
          <w:sz w:val="32"/>
          <w:szCs w:val="32"/>
        </w:rPr>
        <w:t>3</w:t>
      </w:r>
      <w:r>
        <w:rPr>
          <w:rFonts w:hint="eastAsia" w:ascii="Times New Roman" w:hAnsi="仿宋" w:eastAsia="仿宋" w:cs="Times New Roman"/>
          <w:kern w:val="2"/>
          <w:sz w:val="32"/>
          <w:szCs w:val="32"/>
        </w:rPr>
        <w:t>个工作日内将律师服务费全额转入律师事务所账户</w:t>
      </w:r>
      <w:r>
        <w:rPr>
          <w:rFonts w:ascii="Times New Roman" w:hAnsi="仿宋" w:eastAsia="仿宋" w:cs="Times New Roman"/>
          <w:kern w:val="2"/>
          <w:sz w:val="32"/>
          <w:szCs w:val="32"/>
        </w:rPr>
        <w:t>。</w:t>
      </w:r>
      <w:r>
        <w:rPr>
          <w:rFonts w:hint="eastAsia" w:ascii="Times New Roman" w:hAnsi="仿宋" w:eastAsia="仿宋" w:cs="Times New Roman"/>
          <w:kern w:val="2"/>
          <w:sz w:val="32"/>
          <w:szCs w:val="32"/>
        </w:rPr>
        <w:t>该款项未进入律师事务所账户，由此产生的经济责任律师事务所不予承担。</w:t>
      </w:r>
    </w:p>
    <w:p w14:paraId="3D42DB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6B17C3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EC279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5993AC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7AC26F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0A80B9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79155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—10000</w:t>
      </w:r>
      <w:r>
        <w:rPr>
          <w:rFonts w:ascii="Times New Roman" w:hAnsi="仿宋" w:eastAsia="仿宋" w:cs="Times New Roman"/>
          <w:sz w:val="32"/>
          <w:szCs w:val="32"/>
        </w:rPr>
        <w:t>元。</w:t>
      </w:r>
    </w:p>
    <w:p w14:paraId="2FCB5E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20000</w:t>
      </w:r>
      <w:r>
        <w:rPr>
          <w:rFonts w:ascii="Times New Roman" w:hAnsi="仿宋" w:eastAsia="仿宋" w:cs="Times New Roman"/>
          <w:sz w:val="32"/>
          <w:szCs w:val="32"/>
        </w:rPr>
        <w:t>元</w:t>
      </w:r>
      <w:r>
        <w:rPr>
          <w:rFonts w:ascii="Times New Roman" w:hAnsi="Times New Roman" w:eastAsia="仿宋" w:cs="Times New Roman"/>
          <w:sz w:val="32"/>
          <w:szCs w:val="32"/>
        </w:rPr>
        <w:t>—800000</w:t>
      </w:r>
      <w:r>
        <w:rPr>
          <w:rFonts w:ascii="Times New Roman" w:hAnsi="仿宋" w:eastAsia="仿宋" w:cs="Times New Roman"/>
          <w:sz w:val="32"/>
          <w:szCs w:val="32"/>
        </w:rPr>
        <w:t>元，可合理上浮</w:t>
      </w:r>
      <w:r>
        <w:rPr>
          <w:rFonts w:ascii="Times New Roman" w:hAnsi="Times New Roman" w:eastAsia="仿宋" w:cs="Times New Roman"/>
          <w:sz w:val="32"/>
          <w:szCs w:val="32"/>
        </w:rPr>
        <w:t>50%</w:t>
      </w:r>
      <w:r>
        <w:rPr>
          <w:rFonts w:ascii="Times New Roman" w:hAnsi="仿宋" w:eastAsia="仿宋" w:cs="Times New Roman"/>
          <w:sz w:val="32"/>
          <w:szCs w:val="32"/>
        </w:rPr>
        <w:t>以内。</w:t>
      </w:r>
    </w:p>
    <w:p w14:paraId="491984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—30000</w:t>
      </w:r>
      <w:r>
        <w:rPr>
          <w:rFonts w:ascii="Times New Roman" w:hAnsi="仿宋" w:eastAsia="仿宋" w:cs="Times New Roman"/>
          <w:sz w:val="32"/>
          <w:szCs w:val="32"/>
        </w:rPr>
        <w:t>元，可合理上浮</w:t>
      </w:r>
      <w:r>
        <w:rPr>
          <w:rFonts w:ascii="Times New Roman" w:hAnsi="Times New Roman" w:eastAsia="仿宋" w:cs="Times New Roman"/>
          <w:sz w:val="32"/>
          <w:szCs w:val="32"/>
        </w:rPr>
        <w:t>50%</w:t>
      </w:r>
      <w:r>
        <w:rPr>
          <w:rFonts w:ascii="Times New Roman" w:hAnsi="仿宋" w:eastAsia="仿宋" w:cs="Times New Roman"/>
          <w:sz w:val="32"/>
          <w:szCs w:val="32"/>
        </w:rPr>
        <w:t>以内。</w:t>
      </w:r>
    </w:p>
    <w:p w14:paraId="1DB5C0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（四）立法调研、起草或者修改法律法规、规范性文件、课题调研、清理规范性文件等，可按件收费，费用不低于每件</w:t>
      </w:r>
      <w:r>
        <w:rPr>
          <w:rFonts w:ascii="Times New Roman" w:hAnsi="Times New Roman" w:eastAsia="仿宋" w:cs="Times New Roman"/>
          <w:sz w:val="32"/>
          <w:szCs w:val="32"/>
        </w:rPr>
        <w:t>2000</w:t>
      </w:r>
      <w:r>
        <w:rPr>
          <w:rFonts w:ascii="Times New Roman" w:hAnsi="仿宋" w:eastAsia="仿宋" w:cs="Times New Roman"/>
          <w:sz w:val="32"/>
          <w:szCs w:val="32"/>
        </w:rPr>
        <w:t>元，最高不高于每件</w:t>
      </w:r>
      <w:r>
        <w:rPr>
          <w:rFonts w:ascii="Times New Roman" w:hAnsi="Times New Roman" w:eastAsia="仿宋" w:cs="Times New Roman"/>
          <w:sz w:val="32"/>
          <w:szCs w:val="32"/>
        </w:rPr>
        <w:t>30000</w:t>
      </w:r>
      <w:r>
        <w:rPr>
          <w:rFonts w:ascii="Times New Roman" w:hAnsi="仿宋" w:eastAsia="仿宋" w:cs="Times New Roman"/>
          <w:sz w:val="32"/>
          <w:szCs w:val="32"/>
        </w:rPr>
        <w:t>元。</w:t>
      </w:r>
    </w:p>
    <w:p w14:paraId="168584F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小时收取律师服务费，承办律师为二人以上的，以各自的计费标准和计费工作时间分别计算。</w:t>
      </w:r>
    </w:p>
    <w:p w14:paraId="28C8C2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2FF829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件，可合理上浮。</w:t>
      </w:r>
    </w:p>
    <w:p w14:paraId="4CE5F6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374521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0858B5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(1) 10 </w:t>
      </w:r>
      <w:r>
        <w:rPr>
          <w:rFonts w:ascii="Times New Roman" w:hAnsi="仿宋" w:eastAsia="仿宋" w:cs="Times New Roman"/>
          <w:sz w:val="32"/>
          <w:szCs w:val="32"/>
        </w:rPr>
        <w:t>万元以下部分（含</w:t>
      </w:r>
      <w:r>
        <w:rPr>
          <w:rFonts w:ascii="Times New Roman" w:hAnsi="Times New Roman" w:eastAsia="仿宋" w:cs="Times New Roman"/>
          <w:sz w:val="32"/>
          <w:szCs w:val="32"/>
        </w:rPr>
        <w:t>10</w:t>
      </w:r>
      <w:r>
        <w:rPr>
          <w:rFonts w:ascii="Times New Roman" w:hAnsi="仿宋" w:eastAsia="仿宋" w:cs="Times New Roman"/>
          <w:sz w:val="32"/>
          <w:szCs w:val="32"/>
        </w:rPr>
        <w:t>万元）收费比例为</w:t>
      </w:r>
      <w:r>
        <w:rPr>
          <w:rFonts w:ascii="Times New Roman" w:hAnsi="Times New Roman" w:eastAsia="仿宋" w:cs="Times New Roman"/>
          <w:sz w:val="32"/>
          <w:szCs w:val="32"/>
        </w:rPr>
        <w:t xml:space="preserve"> 8 %- 10 %</w:t>
      </w:r>
      <w:r>
        <w:rPr>
          <w:rFonts w:ascii="Times New Roman" w:hAnsi="仿宋" w:eastAsia="仿宋" w:cs="Times New Roman"/>
          <w:sz w:val="32"/>
          <w:szCs w:val="32"/>
        </w:rPr>
        <w:t>，收费额不足</w:t>
      </w:r>
      <w:r>
        <w:rPr>
          <w:rFonts w:ascii="Times New Roman" w:hAnsi="Times New Roman" w:eastAsia="仿宋" w:cs="Times New Roman"/>
          <w:sz w:val="32"/>
          <w:szCs w:val="32"/>
        </w:rPr>
        <w:t>2000</w:t>
      </w:r>
      <w:r>
        <w:rPr>
          <w:rFonts w:ascii="Times New Roman" w:hAnsi="仿宋" w:eastAsia="仿宋" w:cs="Times New Roman"/>
          <w:sz w:val="32"/>
          <w:szCs w:val="32"/>
        </w:rPr>
        <w:t>元的按</w:t>
      </w:r>
      <w:r>
        <w:rPr>
          <w:rFonts w:ascii="Times New Roman" w:hAnsi="Times New Roman" w:eastAsia="仿宋" w:cs="Times New Roman"/>
          <w:sz w:val="32"/>
          <w:szCs w:val="32"/>
        </w:rPr>
        <w:t xml:space="preserve"> 2000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件收取；</w:t>
      </w:r>
    </w:p>
    <w:p w14:paraId="54C813B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 10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50 </w:t>
      </w:r>
      <w:r>
        <w:rPr>
          <w:rFonts w:ascii="Times New Roman" w:hAnsi="仿宋" w:eastAsia="仿宋" w:cs="Times New Roman"/>
          <w:sz w:val="32"/>
          <w:szCs w:val="32"/>
        </w:rPr>
        <w:t>万元）为</w:t>
      </w:r>
      <w:r>
        <w:rPr>
          <w:rFonts w:ascii="Times New Roman" w:hAnsi="Times New Roman" w:eastAsia="仿宋" w:cs="Times New Roman"/>
          <w:sz w:val="32"/>
          <w:szCs w:val="32"/>
        </w:rPr>
        <w:t>7%-9%</w:t>
      </w:r>
      <w:r>
        <w:rPr>
          <w:rFonts w:ascii="Times New Roman" w:hAnsi="仿宋" w:eastAsia="仿宋" w:cs="Times New Roman"/>
          <w:sz w:val="32"/>
          <w:szCs w:val="32"/>
        </w:rPr>
        <w:t>；</w:t>
      </w:r>
    </w:p>
    <w:p w14:paraId="3E5B17E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 50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100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100 </w:t>
      </w:r>
      <w:r>
        <w:rPr>
          <w:rFonts w:ascii="Times New Roman" w:hAnsi="仿宋" w:eastAsia="仿宋" w:cs="Times New Roman"/>
          <w:sz w:val="32"/>
          <w:szCs w:val="32"/>
        </w:rPr>
        <w:t>万元）为</w:t>
      </w:r>
      <w:r>
        <w:rPr>
          <w:rFonts w:ascii="Times New Roman" w:hAnsi="Times New Roman" w:eastAsia="仿宋" w:cs="Times New Roman"/>
          <w:sz w:val="32"/>
          <w:szCs w:val="32"/>
        </w:rPr>
        <w:t>6%-8%</w:t>
      </w:r>
      <w:r>
        <w:rPr>
          <w:rFonts w:ascii="Times New Roman" w:hAnsi="仿宋" w:eastAsia="仿宋" w:cs="Times New Roman"/>
          <w:sz w:val="32"/>
          <w:szCs w:val="32"/>
        </w:rPr>
        <w:t>；</w:t>
      </w:r>
    </w:p>
    <w:p w14:paraId="6269FCF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 100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500</w:t>
      </w:r>
      <w:r>
        <w:rPr>
          <w:rFonts w:ascii="Times New Roman" w:hAnsi="仿宋" w:eastAsia="仿宋" w:cs="Times New Roman"/>
          <w:sz w:val="32"/>
          <w:szCs w:val="32"/>
        </w:rPr>
        <w:t>万元）为</w:t>
      </w:r>
      <w:r>
        <w:rPr>
          <w:rFonts w:ascii="Times New Roman" w:hAnsi="Times New Roman" w:eastAsia="仿宋" w:cs="Times New Roman"/>
          <w:sz w:val="32"/>
          <w:szCs w:val="32"/>
        </w:rPr>
        <w:t>5%- 7%</w:t>
      </w:r>
      <w:r>
        <w:rPr>
          <w:rFonts w:ascii="Times New Roman" w:hAnsi="仿宋" w:eastAsia="仿宋" w:cs="Times New Roman"/>
          <w:sz w:val="32"/>
          <w:szCs w:val="32"/>
        </w:rPr>
        <w:t>；</w:t>
      </w:r>
    </w:p>
    <w:p w14:paraId="2A64B38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 500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 xml:space="preserve"> 4%-6%</w:t>
      </w:r>
      <w:r>
        <w:rPr>
          <w:rFonts w:ascii="Times New Roman" w:hAnsi="仿宋" w:eastAsia="仿宋" w:cs="Times New Roman"/>
          <w:sz w:val="32"/>
          <w:szCs w:val="32"/>
        </w:rPr>
        <w:t>；</w:t>
      </w:r>
    </w:p>
    <w:p w14:paraId="6D1FE38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(6)1000</w:t>
      </w:r>
      <w:r>
        <w:rPr>
          <w:rFonts w:ascii="Times New Roman" w:hAnsi="仿宋" w:eastAsia="仿宋" w:cs="Times New Roman"/>
          <w:sz w:val="32"/>
          <w:szCs w:val="32"/>
        </w:rPr>
        <w:t>万元至</w:t>
      </w:r>
      <w:r>
        <w:rPr>
          <w:rFonts w:ascii="Times New Roman" w:hAnsi="Times New Roman" w:eastAsia="仿宋" w:cs="Times New Roman"/>
          <w:sz w:val="32"/>
          <w:szCs w:val="32"/>
        </w:rPr>
        <w:t>2000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2000</w:t>
      </w:r>
      <w:r>
        <w:rPr>
          <w:rFonts w:ascii="Times New Roman" w:hAnsi="仿宋" w:eastAsia="仿宋" w:cs="Times New Roman"/>
          <w:sz w:val="32"/>
          <w:szCs w:val="32"/>
        </w:rPr>
        <w:t>万元）为</w:t>
      </w:r>
      <w:r>
        <w:rPr>
          <w:rFonts w:ascii="Times New Roman" w:hAnsi="Times New Roman" w:eastAsia="仿宋" w:cs="Times New Roman"/>
          <w:sz w:val="32"/>
          <w:szCs w:val="32"/>
        </w:rPr>
        <w:t>3 %- 5%</w:t>
      </w:r>
      <w:r>
        <w:rPr>
          <w:rFonts w:ascii="Times New Roman" w:hAnsi="仿宋" w:eastAsia="仿宋" w:cs="Times New Roman"/>
          <w:sz w:val="32"/>
          <w:szCs w:val="32"/>
        </w:rPr>
        <w:t>；</w:t>
      </w:r>
    </w:p>
    <w:p w14:paraId="05EF691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(7)2000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万元）为</w:t>
      </w:r>
      <w:r>
        <w:rPr>
          <w:rFonts w:ascii="Times New Roman" w:hAnsi="Times New Roman" w:eastAsia="仿宋" w:cs="Times New Roman"/>
          <w:sz w:val="32"/>
          <w:szCs w:val="32"/>
        </w:rPr>
        <w:t>2%- 4 %</w:t>
      </w:r>
      <w:r>
        <w:rPr>
          <w:rFonts w:ascii="Times New Roman" w:hAnsi="仿宋" w:eastAsia="仿宋" w:cs="Times New Roman"/>
          <w:sz w:val="32"/>
          <w:szCs w:val="32"/>
        </w:rPr>
        <w:t>；</w:t>
      </w:r>
    </w:p>
    <w:p w14:paraId="24B6C64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 xml:space="preserve"> 1%-3%</w:t>
      </w:r>
      <w:r>
        <w:rPr>
          <w:rFonts w:ascii="Times New Roman" w:hAnsi="仿宋" w:eastAsia="仿宋" w:cs="Times New Roman"/>
          <w:sz w:val="32"/>
          <w:szCs w:val="32"/>
        </w:rPr>
        <w:t>。</w:t>
      </w:r>
    </w:p>
    <w:p w14:paraId="2716C4A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w:t>
      </w:r>
      <w:r>
        <w:rPr>
          <w:rFonts w:ascii="Times New Roman" w:hAnsi="Times New Roman" w:eastAsia="仿宋" w:cs="Times New Roman"/>
          <w:sz w:val="32"/>
          <w:szCs w:val="32"/>
        </w:rPr>
        <w:t>50%</w:t>
      </w:r>
      <w:r>
        <w:rPr>
          <w:rFonts w:ascii="Times New Roman" w:hAnsi="仿宋" w:eastAsia="仿宋" w:cs="Times New Roman"/>
          <w:sz w:val="32"/>
          <w:szCs w:val="32"/>
        </w:rPr>
        <w:t>以内酌减收费。</w:t>
      </w:r>
    </w:p>
    <w:p w14:paraId="528F9D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w:t>
      </w:r>
    </w:p>
    <w:p w14:paraId="46E4BB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收费，代理执行案件也可采用风险代理或计时收费（不得采取风险代理的案件除外）。</w:t>
      </w:r>
    </w:p>
    <w:p w14:paraId="575093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DDE5D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风险代理收取的律师服务费按照最后结算依据的标的额合计最高金额应当符合下列标准：</w:t>
      </w:r>
    </w:p>
    <w:p w14:paraId="6E6753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15%-18%</w:t>
      </w:r>
      <w:r>
        <w:rPr>
          <w:rFonts w:ascii="Times New Roman" w:hAnsi="仿宋" w:eastAsia="仿宋" w:cs="Times New Roman"/>
          <w:sz w:val="32"/>
          <w:szCs w:val="32"/>
        </w:rPr>
        <w:t>计算；</w:t>
      </w:r>
    </w:p>
    <w:p w14:paraId="1BC252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12%-15%</w:t>
      </w:r>
      <w:r>
        <w:rPr>
          <w:rFonts w:ascii="Times New Roman" w:hAnsi="仿宋" w:eastAsia="仿宋" w:cs="Times New Roman"/>
          <w:sz w:val="32"/>
          <w:szCs w:val="32"/>
        </w:rPr>
        <w:t>计算；</w:t>
      </w:r>
    </w:p>
    <w:p w14:paraId="698FA2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10%-12%</w:t>
      </w:r>
      <w:r>
        <w:rPr>
          <w:rFonts w:ascii="Times New Roman" w:hAnsi="仿宋" w:eastAsia="仿宋" w:cs="Times New Roman"/>
          <w:sz w:val="32"/>
          <w:szCs w:val="32"/>
        </w:rPr>
        <w:t>计算；</w:t>
      </w:r>
    </w:p>
    <w:p w14:paraId="626689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8%-9%</w:t>
      </w:r>
      <w:r>
        <w:rPr>
          <w:rFonts w:ascii="Times New Roman" w:hAnsi="仿宋" w:eastAsia="仿宋" w:cs="Times New Roman"/>
          <w:sz w:val="32"/>
          <w:szCs w:val="32"/>
        </w:rPr>
        <w:t>计算；</w:t>
      </w:r>
    </w:p>
    <w:p w14:paraId="44B715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5%-6%</w:t>
      </w:r>
      <w:r>
        <w:rPr>
          <w:rFonts w:ascii="Times New Roman" w:hAnsi="仿宋" w:eastAsia="仿宋" w:cs="Times New Roman"/>
          <w:sz w:val="32"/>
          <w:szCs w:val="32"/>
        </w:rPr>
        <w:t>计算。</w:t>
      </w:r>
    </w:p>
    <w:p w14:paraId="260D7E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代理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F5990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2CEA5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06519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92627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2D2277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74E04B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E6A2D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84205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12B655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D182F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02E49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自诉人的代理人和被告人的辩护人。国家公诉案件可以按刑事诉讼流程进行收费，主要分为侦查阶段、审查起诉阶段、审判阶段、申诉、再审阶段，收费标准采取按一人一罪名执行。</w:t>
      </w:r>
    </w:p>
    <w:p w14:paraId="349A067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）侦查阶段（含检察院自侦阶段）：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108B7D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1FC61A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xml:space="preserve"> - 30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262742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xml:space="preserve"> - 30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5D357A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A5BB68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C6DDA5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2C2CD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ACAA4A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467543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担任刑事案件自诉人、被害人的代理人和被告人的辩护人：</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件，刑事附带民事案件的律师费用参照本标准中民事诉讼收费标准予以收取。</w:t>
      </w:r>
    </w:p>
    <w:p w14:paraId="7A2F48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3551D6A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69875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776A83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代理不涉及给付金额的单一工伤、婚姻民事案件，按照非风险代理案件以每件</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元按件收费。</w:t>
      </w:r>
    </w:p>
    <w:p w14:paraId="59447A74">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426AE1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选择计时收费的案件，如涉及涉外（含港、澳、台）案件及重大、疑难、复杂及律师工作量大的民事诉讼、仲裁案件，可以在计时收费标准中基础上再上浮不超过一倍收费。</w:t>
      </w:r>
    </w:p>
    <w:p w14:paraId="701991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一倍执行。如果涉及到多语种法律服务的，可以在标准基础上再上浮不超过一倍收费。经委托人同意，也可以由本所参照外国或港、澳、台地区律师事务所驻我国代表机构办理同类法律事务的收费标准，与委托人协商确定收费数额。</w:t>
      </w:r>
    </w:p>
    <w:p w14:paraId="3AE9D55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对于重大、疑难、复杂及律师工作量大的民事诉讼、仲裁案件，可以在民事诉讼案件（含风险代理案件）一审阶段的收费标准基础上再上浮不超过一倍收费。下列案件为重大、疑难、复杂民事诉讼、仲裁案件：</w:t>
      </w:r>
    </w:p>
    <w:p w14:paraId="497021B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4D362F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1C2802D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93720D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4E6C1E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27341BB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18C03F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3663257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48F68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收费；重大、疑难、复杂及律师工作量大的民事申诉案件可以上浮不超过一倍收费，亦可按本收费标准进行风险代理或者计时收费（不得采用风险代理的案件除外）。</w:t>
      </w:r>
    </w:p>
    <w:p w14:paraId="6E84B8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单独承办执行案件，如执行难度大，执行程序复杂的重大执行案件，按一审阶段收费标准上浮一倍收费。</w:t>
      </w:r>
    </w:p>
    <w:p w14:paraId="3E4508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办理异地、重大、疑难、复杂、社会影响较大的刑事诉讼案件，可以在本收费标准中刑事收费标准基础六倍之内</w:t>
      </w:r>
      <w:r>
        <w:rPr>
          <w:rFonts w:ascii="Times New Roman" w:hAnsi="Times New Roman" w:eastAsia="仿宋" w:cs="Times New Roman"/>
          <w:sz w:val="32"/>
          <w:szCs w:val="32"/>
        </w:rPr>
        <w:t>(</w:t>
      </w:r>
      <w:r>
        <w:rPr>
          <w:rFonts w:ascii="Times New Roman" w:hAnsi="仿宋" w:eastAsia="仿宋" w:cs="Times New Roman"/>
          <w:sz w:val="32"/>
          <w:szCs w:val="32"/>
        </w:rPr>
        <w:t>含六倍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6AD32F55">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至一倍收费。</w:t>
      </w:r>
    </w:p>
    <w:p w14:paraId="59F9671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0B4E7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14D042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4CA6D5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7A424F1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28CDC57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472150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全体律师除前述第三十三条、第三十四条涉及案件外，其他案件收费应严格按本收费标准执行，不得以争揽业务为目的，通过减收或免收律师服务费吸引委托人，进行低价的不正当竞争。</w:t>
      </w:r>
    </w:p>
    <w:p w14:paraId="3BDA96E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7698B0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1FAA43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第三十七条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59C336B0">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仿宋" w:cs="Times New Roman"/>
          <w:sz w:val="32"/>
          <w:szCs w:val="32"/>
        </w:rPr>
      </w:pPr>
    </w:p>
    <w:p w14:paraId="6FAE50A4">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仿宋" w:cs="Times New Roman"/>
          <w:sz w:val="32"/>
          <w:szCs w:val="32"/>
        </w:rPr>
      </w:pPr>
    </w:p>
    <w:p w14:paraId="36A48DD5">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8934B8E">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hint="eastAsia" w:ascii="仿宋" w:hAnsi="仿宋" w:eastAsia="仿宋" w:cs="方正仿宋_GBK"/>
          <w:sz w:val="32"/>
          <w:szCs w:val="32"/>
        </w:rPr>
        <w:t>日</w:t>
      </w:r>
      <w:r>
        <w:rPr>
          <w:rFonts w:hint="eastAsia" w:ascii="仿宋" w:hAnsi="仿宋" w:eastAsia="仿宋" w:cs="方正仿宋_GBK"/>
          <w:sz w:val="32"/>
          <w:szCs w:val="32"/>
          <w:lang w:val="en-US" w:eastAsia="zh-CN"/>
        </w:rPr>
        <w:t xml:space="preserve">    </w:t>
      </w:r>
    </w:p>
    <w:sectPr>
      <w:footerReference r:id="rId3" w:type="default"/>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66C9">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C633D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A1CE8"/>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0585"/>
    <w:rsid w:val="00567584"/>
    <w:rsid w:val="00632365"/>
    <w:rsid w:val="00677DBB"/>
    <w:rsid w:val="006C311F"/>
    <w:rsid w:val="006C6CD7"/>
    <w:rsid w:val="006D6BB3"/>
    <w:rsid w:val="00751D1A"/>
    <w:rsid w:val="007752D3"/>
    <w:rsid w:val="007B2EEE"/>
    <w:rsid w:val="007C1EB5"/>
    <w:rsid w:val="007C3684"/>
    <w:rsid w:val="007D09B9"/>
    <w:rsid w:val="008542A3"/>
    <w:rsid w:val="00892619"/>
    <w:rsid w:val="008C65AC"/>
    <w:rsid w:val="00912D78"/>
    <w:rsid w:val="00915DD7"/>
    <w:rsid w:val="009928C2"/>
    <w:rsid w:val="009B0D09"/>
    <w:rsid w:val="009B2BF1"/>
    <w:rsid w:val="009C08AA"/>
    <w:rsid w:val="00A40DB8"/>
    <w:rsid w:val="00A5775E"/>
    <w:rsid w:val="00A75AA1"/>
    <w:rsid w:val="00B718AA"/>
    <w:rsid w:val="00B87340"/>
    <w:rsid w:val="00BB0BC5"/>
    <w:rsid w:val="00BB26EC"/>
    <w:rsid w:val="00BF6BC4"/>
    <w:rsid w:val="00C31312"/>
    <w:rsid w:val="00C42A1D"/>
    <w:rsid w:val="00CB26F6"/>
    <w:rsid w:val="00CE1660"/>
    <w:rsid w:val="00D0276C"/>
    <w:rsid w:val="00D23FC9"/>
    <w:rsid w:val="00D246FF"/>
    <w:rsid w:val="00D40349"/>
    <w:rsid w:val="00D94AA5"/>
    <w:rsid w:val="00DB52C0"/>
    <w:rsid w:val="00DC11B8"/>
    <w:rsid w:val="00DC4FC6"/>
    <w:rsid w:val="00DE222E"/>
    <w:rsid w:val="00E53727"/>
    <w:rsid w:val="00E64635"/>
    <w:rsid w:val="00E7708B"/>
    <w:rsid w:val="00EA5D3A"/>
    <w:rsid w:val="00EF32BA"/>
    <w:rsid w:val="00F618B6"/>
    <w:rsid w:val="00F73074"/>
    <w:rsid w:val="00FB0721"/>
    <w:rsid w:val="00FB7106"/>
    <w:rsid w:val="00FE2E7F"/>
    <w:rsid w:val="396664A7"/>
    <w:rsid w:val="40A10FCC"/>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4917</Words>
  <Characters>5182</Characters>
  <Lines>38</Lines>
  <Paragraphs>10</Paragraphs>
  <TotalTime>1</TotalTime>
  <ScaleCrop>false</ScaleCrop>
  <LinksUpToDate>false</LinksUpToDate>
  <CharactersWithSpaces>5291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2025-05-23T02:12:04Z</cp:lastPrinted>
  <dcterms:modified xsi:type="dcterms:W3CDTF">2025-05-23T02:12:39Z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