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00B7EC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号）及省上相关规定，本会对四川颂悦律师事务所提交的《四川颂悦律师事务所律师服务收费标准》已审查完毕，相关内容符合相关规定，本会同意备案人的备案申请，该收费标准自备案之日起至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8F3711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1EAEF3A6">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四川颂悦律师事务所律师服务收费标准</w:t>
      </w:r>
    </w:p>
    <w:p w14:paraId="7DEACF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5B54A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2460B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F72E3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4EF948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w:t>
      </w:r>
      <w:bookmarkStart w:id="1" w:name="_GoBack"/>
      <w:bookmarkEnd w:id="1"/>
      <w:r>
        <w:rPr>
          <w:rFonts w:ascii="Times New Roman" w:hAnsi="仿宋" w:eastAsia="仿宋" w:cs="Times New Roman"/>
          <w:kern w:val="2"/>
          <w:sz w:val="32"/>
          <w:szCs w:val="32"/>
        </w:rPr>
        <w:t>过程中发生的诉讼费、仲裁费、鉴定费、公证费、查档费、保全费、翻译费、异地办案差旅费、跨境通讯费、专家论证费等费用，以及律师事务所代委托人支付的其他费用，不属于律师服务费，由委托人另行支付。</w:t>
      </w:r>
    </w:p>
    <w:p w14:paraId="4F1936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F69B5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4F60E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48E3B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515760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3430E8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5D478E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BCD3F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1D649E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4E52BD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F0C6D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533DD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86580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272448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5</w:t>
      </w:r>
      <w:r>
        <w:rPr>
          <w:rFonts w:ascii="Times New Roman" w:hAnsi="仿宋" w:eastAsia="仿宋" w:cs="Times New Roman"/>
          <w:sz w:val="32"/>
          <w:szCs w:val="32"/>
        </w:rPr>
        <w:t>千元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64DE7D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188E7C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5E6F51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3E67D9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1DE62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-50</w:t>
      </w:r>
      <w:r>
        <w:rPr>
          <w:rFonts w:ascii="Times New Roman" w:hAnsi="仿宋" w:eastAsia="仿宋" w:cs="Times New Roman"/>
          <w:sz w:val="32"/>
          <w:szCs w:val="32"/>
        </w:rPr>
        <w:t>万元范围内收取律师服务费。</w:t>
      </w:r>
    </w:p>
    <w:p w14:paraId="628ACA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E6A96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w:t>
      </w:r>
      <w:r>
        <w:rPr>
          <w:rFonts w:ascii="Times New Roman" w:hAnsi="仿宋" w:eastAsia="仿宋" w:cs="Times New Roman"/>
          <w:b/>
          <w:bCs/>
          <w:sz w:val="32"/>
          <w:szCs w:val="32"/>
        </w:rPr>
        <w:t>分段累计收费</w:t>
      </w:r>
      <w:r>
        <w:rPr>
          <w:rFonts w:ascii="Times New Roman" w:hAnsi="仿宋" w:eastAsia="仿宋" w:cs="Times New Roman"/>
          <w:sz w:val="32"/>
          <w:szCs w:val="32"/>
        </w:rPr>
        <w:t>，具体如下</w:t>
      </w:r>
      <w:r>
        <w:rPr>
          <w:rFonts w:ascii="Times New Roman" w:hAnsi="Times New Roman" w:eastAsia="仿宋" w:cs="Times New Roman"/>
          <w:sz w:val="32"/>
          <w:szCs w:val="32"/>
        </w:rPr>
        <w:t>:</w:t>
      </w:r>
    </w:p>
    <w:p w14:paraId="007182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6%-15%</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CF5B6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3%-12%</w:t>
      </w:r>
      <w:r>
        <w:rPr>
          <w:rFonts w:ascii="Times New Roman" w:hAnsi="仿宋" w:eastAsia="仿宋" w:cs="Times New Roman"/>
          <w:sz w:val="32"/>
          <w:szCs w:val="32"/>
        </w:rPr>
        <w:t>；</w:t>
      </w:r>
    </w:p>
    <w:p w14:paraId="28C633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2%-10%;</w:t>
      </w:r>
    </w:p>
    <w:p w14:paraId="1CFB46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1%-5%</w:t>
      </w:r>
      <w:r>
        <w:rPr>
          <w:rFonts w:ascii="Times New Roman" w:hAnsi="仿宋" w:eastAsia="仿宋" w:cs="Times New Roman"/>
          <w:sz w:val="32"/>
          <w:szCs w:val="32"/>
        </w:rPr>
        <w:t>。</w:t>
      </w:r>
    </w:p>
    <w:p w14:paraId="7E0B3DD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20-30%</w:t>
      </w:r>
      <w:r>
        <w:rPr>
          <w:rFonts w:ascii="Times New Roman" w:hAnsi="仿宋" w:eastAsia="仿宋" w:cs="Times New Roman"/>
          <w:sz w:val="32"/>
          <w:szCs w:val="32"/>
        </w:rPr>
        <w:t>收费。</w:t>
      </w:r>
    </w:p>
    <w:p w14:paraId="784F17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8BFD3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收费，代理执行案件也可采用风险代理或计时收费，不能采取风险代理的案件除外。</w:t>
      </w:r>
    </w:p>
    <w:p w14:paraId="46B071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4BBBE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60E4C9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14:paraId="537A15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14:paraId="158568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14:paraId="663BF4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5%-15%</w:t>
      </w:r>
      <w:r>
        <w:rPr>
          <w:rFonts w:ascii="Times New Roman" w:hAnsi="仿宋" w:eastAsia="仿宋" w:cs="Times New Roman"/>
          <w:sz w:val="32"/>
          <w:szCs w:val="32"/>
        </w:rPr>
        <w:t>计算；</w:t>
      </w:r>
    </w:p>
    <w:p w14:paraId="77A25E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4%-10%</w:t>
      </w:r>
      <w:r>
        <w:rPr>
          <w:rFonts w:ascii="Times New Roman" w:hAnsi="仿宋" w:eastAsia="仿宋" w:cs="Times New Roman"/>
          <w:sz w:val="32"/>
          <w:szCs w:val="32"/>
        </w:rPr>
        <w:t>计算。</w:t>
      </w:r>
    </w:p>
    <w:p w14:paraId="6121FF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4E711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9044D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1E6A29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32F02B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041A8E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00034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4F944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10546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97E92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CFAB3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6366F2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227597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24B24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42F4B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1C66A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36AB8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D42A7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586FC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98C825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665D2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80F8B2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9CC5AD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6E265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0D3F8E7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44E0D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15EB9A85">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275D96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2AED5A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10-50%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1C1A8FA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4CDC0F7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4624212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5627752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BEFA67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300CF6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430C55A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72D6292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0D78A03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3BB1A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倍收费，亦可按本收费标准进行风险代理或者计时收费。</w:t>
      </w:r>
    </w:p>
    <w:p w14:paraId="4F692E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D88C8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B64E5EE">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倍收费。</w:t>
      </w:r>
    </w:p>
    <w:p w14:paraId="046F5FE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4FF24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76E49D2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7BE324B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0FB0080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36AA92C">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A8D4AA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799E79E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58191A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5348A15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816229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65B83A7">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3631AB34">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C8A1E2D">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E0C4">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CDBF5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28A2"/>
    <w:rsid w:val="00060B2C"/>
    <w:rsid w:val="00086D6F"/>
    <w:rsid w:val="000A5223"/>
    <w:rsid w:val="000F17D5"/>
    <w:rsid w:val="00150461"/>
    <w:rsid w:val="00163348"/>
    <w:rsid w:val="001702D6"/>
    <w:rsid w:val="00176683"/>
    <w:rsid w:val="001B2CA9"/>
    <w:rsid w:val="002644D8"/>
    <w:rsid w:val="0026763C"/>
    <w:rsid w:val="0027206A"/>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16FE9"/>
    <w:rsid w:val="005245C8"/>
    <w:rsid w:val="00557E26"/>
    <w:rsid w:val="00567584"/>
    <w:rsid w:val="00677DBB"/>
    <w:rsid w:val="006C311F"/>
    <w:rsid w:val="006C6CD7"/>
    <w:rsid w:val="006D6BB3"/>
    <w:rsid w:val="006F2462"/>
    <w:rsid w:val="00751D1A"/>
    <w:rsid w:val="007752D3"/>
    <w:rsid w:val="007B2EEE"/>
    <w:rsid w:val="007D09B9"/>
    <w:rsid w:val="008542A3"/>
    <w:rsid w:val="00892619"/>
    <w:rsid w:val="008926F2"/>
    <w:rsid w:val="008C65AC"/>
    <w:rsid w:val="00912D78"/>
    <w:rsid w:val="00915DD7"/>
    <w:rsid w:val="009928C2"/>
    <w:rsid w:val="009B0D09"/>
    <w:rsid w:val="009B2BF1"/>
    <w:rsid w:val="009C08AA"/>
    <w:rsid w:val="009C23BC"/>
    <w:rsid w:val="00A40DB8"/>
    <w:rsid w:val="00A5775E"/>
    <w:rsid w:val="00A75AA1"/>
    <w:rsid w:val="00AF3D70"/>
    <w:rsid w:val="00B718AA"/>
    <w:rsid w:val="00BB26EC"/>
    <w:rsid w:val="00BF6BC4"/>
    <w:rsid w:val="00C274B7"/>
    <w:rsid w:val="00C31312"/>
    <w:rsid w:val="00C42A1D"/>
    <w:rsid w:val="00CB26F6"/>
    <w:rsid w:val="00CE1660"/>
    <w:rsid w:val="00D0276C"/>
    <w:rsid w:val="00D23FC9"/>
    <w:rsid w:val="00D246FF"/>
    <w:rsid w:val="00D40349"/>
    <w:rsid w:val="00D40E09"/>
    <w:rsid w:val="00D611C9"/>
    <w:rsid w:val="00D94AA5"/>
    <w:rsid w:val="00DC11B8"/>
    <w:rsid w:val="00E53727"/>
    <w:rsid w:val="00E64635"/>
    <w:rsid w:val="00E7708B"/>
    <w:rsid w:val="00EA5D3A"/>
    <w:rsid w:val="00EF32BA"/>
    <w:rsid w:val="00F618B6"/>
    <w:rsid w:val="00F73074"/>
    <w:rsid w:val="00FB0721"/>
    <w:rsid w:val="00FE2E7F"/>
    <w:rsid w:val="1F021C58"/>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4723</Words>
  <Characters>4911</Characters>
  <Lines>36</Lines>
  <Paragraphs>10</Paragraphs>
  <TotalTime>2</TotalTime>
  <ScaleCrop>false</ScaleCrop>
  <LinksUpToDate>false</LinksUpToDate>
  <CharactersWithSpaces>4986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2025-05-23T02:06:17Z</cp:lastPrinted>
  <dcterms:modified xsi:type="dcterms:W3CDTF">2025-05-23T02:07:47Z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