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bookmarkStart w:id="1" w:name="_GoBack"/>
      <w:bookmarkEnd w:id="1"/>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470B86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上海段和段（德阳）律师事务所提交的《上海段和段（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277BA8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20DBE94">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上海段和段（德阳）律师事务所律师服务收费标准</w:t>
      </w:r>
    </w:p>
    <w:p w14:paraId="68A831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6C25B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本所根据国家、四川省相关法律法规及规范性文件的规定和要求，并结合本市、本所实际情况制定本收费标准。</w:t>
      </w:r>
    </w:p>
    <w:p w14:paraId="7C30D3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的类型、复杂程度、工作时长、参与人数、执业经验、风险程度、案件标的额等具体情况，根据本收费标准由委托人与律师自愿平等协商，公平合理地确定收费方式和收费金额。</w:t>
      </w:r>
    </w:p>
    <w:p w14:paraId="57C3FE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1C5E0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187F1E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1E6FF0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DA513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B9AF0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186A2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以上收费方式，在同一法律服务办理的不同阶段，可以选择同一种方式，也可以选择不同种方式，或两种及以上的方式确定律师服务费的计算及支付方式。</w:t>
      </w:r>
    </w:p>
    <w:p w14:paraId="09B118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0D8A7B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9FCA5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26BCFA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91C18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0106D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17EED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7BB7F8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（一）代书、起草、审查修改合同或者其他法律文书、律师函、律师见证、代为声明、参加谈判、会议、主持调解等，可按件收费或按照标的额收费，按件收费的每件</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—15</w:t>
      </w:r>
      <w:r>
        <w:rPr>
          <w:rFonts w:ascii="Times New Roman" w:hAnsi="仿宋" w:eastAsia="仿宋" w:cs="Times New Roman"/>
          <w:sz w:val="32"/>
          <w:szCs w:val="32"/>
        </w:rPr>
        <w:t>万元，按标的额收费的为</w:t>
      </w:r>
      <w:r>
        <w:rPr>
          <w:rFonts w:ascii="Times New Roman" w:hAnsi="Times New Roman" w:eastAsia="仿宋" w:cs="Times New Roman"/>
          <w:sz w:val="32"/>
          <w:szCs w:val="32"/>
        </w:rPr>
        <w:t>1%—10%</w:t>
      </w:r>
      <w:r>
        <w:rPr>
          <w:rFonts w:ascii="Times New Roman" w:hAnsi="仿宋" w:eastAsia="仿宋" w:cs="Times New Roman"/>
          <w:sz w:val="32"/>
          <w:szCs w:val="32"/>
        </w:rPr>
        <w:t>。</w:t>
      </w:r>
    </w:p>
    <w:p w14:paraId="5DD72F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86B6E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3C3D66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357A7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w:t>
      </w:r>
    </w:p>
    <w:p w14:paraId="1FFFCDC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06E04E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工作时间，也包括各类非诉法律事务中律师的资料整理、查询、文书起草、修订、谈判等工作时间。律师办理委托事项的在途时间减半收取费用。</w:t>
      </w:r>
    </w:p>
    <w:p w14:paraId="393BFF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万元范围内收取律师服务费，可根据案件情况，合理上浮，上浮比例不超过原服务费金额的</w:t>
      </w:r>
      <w:r>
        <w:rPr>
          <w:rFonts w:ascii="Times New Roman" w:hAnsi="Times New Roman" w:eastAsia="仿宋" w:cs="Times New Roman"/>
          <w:sz w:val="32"/>
          <w:szCs w:val="32"/>
        </w:rPr>
        <w:t>2</w:t>
      </w:r>
      <w:r>
        <w:rPr>
          <w:rFonts w:ascii="Times New Roman" w:hAnsi="仿宋" w:eastAsia="仿宋" w:cs="Times New Roman"/>
          <w:sz w:val="32"/>
          <w:szCs w:val="32"/>
        </w:rPr>
        <w:t>倍（含）。</w:t>
      </w:r>
    </w:p>
    <w:p w14:paraId="051EB8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3A15CA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涉及财产利益关系的法律事务，如系诉讼事务，则在每个独立的诉讼阶段、执行阶段中，可按案件争议标的额金额的一定比例分段累计收费，具体如下</w:t>
      </w:r>
      <w:r>
        <w:rPr>
          <w:rFonts w:ascii="Times New Roman" w:hAnsi="Times New Roman" w:eastAsia="仿宋" w:cs="Times New Roman"/>
          <w:sz w:val="32"/>
          <w:szCs w:val="32"/>
        </w:rPr>
        <w:t>:</w:t>
      </w:r>
    </w:p>
    <w:p w14:paraId="6B30FC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5%-10%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59757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4%-8%</w:t>
      </w:r>
      <w:r>
        <w:rPr>
          <w:rFonts w:ascii="Times New Roman" w:hAnsi="仿宋" w:eastAsia="仿宋" w:cs="Times New Roman"/>
          <w:sz w:val="32"/>
          <w:szCs w:val="32"/>
        </w:rPr>
        <w:t>；</w:t>
      </w:r>
    </w:p>
    <w:p w14:paraId="7C87B5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2%-6%;</w:t>
      </w:r>
    </w:p>
    <w:p w14:paraId="41A16A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1%-4%</w:t>
      </w:r>
      <w:r>
        <w:rPr>
          <w:rFonts w:ascii="Times New Roman" w:hAnsi="仿宋" w:eastAsia="仿宋" w:cs="Times New Roman"/>
          <w:sz w:val="32"/>
          <w:szCs w:val="32"/>
        </w:rPr>
        <w:t>。</w:t>
      </w:r>
    </w:p>
    <w:p w14:paraId="5E384F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上述收费若案情简单可下浮不超过</w:t>
      </w:r>
      <w:r>
        <w:rPr>
          <w:rFonts w:ascii="Times New Roman" w:hAnsi="Times New Roman" w:eastAsia="仿宋" w:cs="Times New Roman"/>
          <w:sz w:val="32"/>
          <w:szCs w:val="32"/>
        </w:rPr>
        <w:t>20%</w:t>
      </w:r>
      <w:r>
        <w:rPr>
          <w:rFonts w:ascii="Times New Roman" w:hAnsi="仿宋" w:eastAsia="仿宋" w:cs="Times New Roman"/>
          <w:sz w:val="32"/>
          <w:szCs w:val="32"/>
        </w:rPr>
        <w:t>（含）收费。</w:t>
      </w:r>
    </w:p>
    <w:p w14:paraId="2700B1E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30%</w:t>
      </w:r>
      <w:r>
        <w:rPr>
          <w:rFonts w:ascii="Times New Roman" w:hAnsi="仿宋" w:eastAsia="仿宋" w:cs="Times New Roman"/>
          <w:sz w:val="32"/>
          <w:szCs w:val="32"/>
        </w:rPr>
        <w:t>的优惠。</w:t>
      </w:r>
    </w:p>
    <w:p w14:paraId="6E7D07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7DD4A8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87DD0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B76FF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9%-18%</w:t>
      </w:r>
      <w:r>
        <w:rPr>
          <w:rFonts w:ascii="Times New Roman" w:hAnsi="仿宋" w:eastAsia="仿宋" w:cs="Times New Roman"/>
          <w:sz w:val="32"/>
          <w:szCs w:val="32"/>
        </w:rPr>
        <w:t>计算；</w:t>
      </w:r>
    </w:p>
    <w:p w14:paraId="0ECC1A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169D1F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27FD35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5A99A8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计算。采用风险代理的，可以约定其中固定收取的部分以及风险代理的部分费用，但总额不超过上述律师服务费比例。</w:t>
      </w:r>
    </w:p>
    <w:p w14:paraId="4ABD63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预计应当支付的律师服务费提供相应的担保。</w:t>
      </w:r>
    </w:p>
    <w:p w14:paraId="5AEB56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上述风险代理收费若案情简单可下浮不超过</w:t>
      </w:r>
      <w:r>
        <w:rPr>
          <w:rFonts w:ascii="Times New Roman" w:hAnsi="Times New Roman" w:eastAsia="仿宋" w:cs="Times New Roman"/>
          <w:sz w:val="32"/>
          <w:szCs w:val="32"/>
        </w:rPr>
        <w:t>20%</w:t>
      </w:r>
      <w:r>
        <w:rPr>
          <w:rFonts w:ascii="Times New Roman" w:hAnsi="仿宋" w:eastAsia="仿宋" w:cs="Times New Roman"/>
          <w:sz w:val="32"/>
          <w:szCs w:val="32"/>
        </w:rPr>
        <w:t>（含）收费。</w:t>
      </w:r>
    </w:p>
    <w:p w14:paraId="7BEDC5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律师事务所和律师不得在风险代理合同中排除或者限制当事人上诉、撤诉、调解、和解等诉讼权利，但可以约定出现前述情形时律师服务费的计算和支付方式。</w:t>
      </w:r>
    </w:p>
    <w:p w14:paraId="1C2E2C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在订立风险代理合同过程中，律师或律师事务所应当按相关规定向委托人作出提示义务和告知义务，并可要求委托人签署告知书</w:t>
      </w:r>
      <w:r>
        <w:rPr>
          <w:rFonts w:ascii="Times New Roman" w:hAnsi="仿宋" w:eastAsia="仿宋" w:cs="Times New Roman"/>
          <w:kern w:val="2"/>
          <w:sz w:val="32"/>
          <w:szCs w:val="32"/>
        </w:rPr>
        <w:t>。</w:t>
      </w:r>
    </w:p>
    <w:p w14:paraId="65D7C7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E4BD5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C41B4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209324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920A8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041EB7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1DD35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D3D3B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E23B7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552AF3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万元；上述阶段同时由本所律师代理的，可给予优惠；仅提供会见等临时阶段法律服务的，收费不低于</w:t>
      </w:r>
      <w:r>
        <w:rPr>
          <w:rFonts w:ascii="Times New Roman" w:hAnsi="Times New Roman" w:eastAsia="仿宋" w:cs="Times New Roman"/>
          <w:sz w:val="32"/>
          <w:szCs w:val="32"/>
        </w:rPr>
        <w:t>3000</w:t>
      </w:r>
      <w:r>
        <w:rPr>
          <w:rFonts w:ascii="Times New Roman" w:hAnsi="仿宋" w:eastAsia="仿宋" w:cs="Times New Roman"/>
          <w:sz w:val="32"/>
          <w:szCs w:val="32"/>
        </w:rPr>
        <w:t>元；</w:t>
      </w:r>
    </w:p>
    <w:p w14:paraId="6F99A8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3-30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6075B1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1661B52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13B600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2AFA642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CA74D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365852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bCs/>
          <w:sz w:val="32"/>
          <w:szCs w:val="32"/>
        </w:rPr>
        <w:t>法律咨询收费按件</w:t>
      </w:r>
      <w:r>
        <w:rPr>
          <w:rFonts w:ascii="Times New Roman" w:hAnsi="Times New Roman" w:eastAsia="仿宋" w:cs="Times New Roman"/>
          <w:bCs/>
          <w:sz w:val="32"/>
          <w:szCs w:val="32"/>
        </w:rPr>
        <w:t>/</w:t>
      </w:r>
      <w:r>
        <w:rPr>
          <w:rFonts w:ascii="Times New Roman" w:hAnsi="仿宋" w:eastAsia="仿宋" w:cs="Times New Roman"/>
          <w:bCs/>
          <w:sz w:val="32"/>
          <w:szCs w:val="32"/>
        </w:rPr>
        <w:t>次，每件不低于</w:t>
      </w:r>
      <w:r>
        <w:rPr>
          <w:rFonts w:ascii="Times New Roman" w:hAnsi="Times New Roman" w:eastAsia="仿宋" w:cs="Times New Roman"/>
          <w:bCs/>
          <w:sz w:val="32"/>
          <w:szCs w:val="32"/>
        </w:rPr>
        <w:t>200</w:t>
      </w:r>
      <w:r>
        <w:rPr>
          <w:rFonts w:ascii="Times New Roman" w:hAnsi="仿宋" w:eastAsia="仿宋" w:cs="Times New Roman"/>
          <w:bCs/>
          <w:sz w:val="32"/>
          <w:szCs w:val="32"/>
        </w:rPr>
        <w:t>元</w:t>
      </w:r>
      <w:r>
        <w:rPr>
          <w:rFonts w:ascii="Times New Roman" w:hAnsi="Times New Roman" w:eastAsia="仿宋" w:cs="Times New Roman"/>
          <w:bCs/>
          <w:sz w:val="32"/>
          <w:szCs w:val="32"/>
        </w:rPr>
        <w:t>/</w:t>
      </w:r>
      <w:r>
        <w:rPr>
          <w:rFonts w:ascii="Times New Roman" w:hAnsi="仿宋" w:eastAsia="仿宋" w:cs="Times New Roman"/>
          <w:bCs/>
          <w:sz w:val="32"/>
          <w:szCs w:val="32"/>
        </w:rPr>
        <w:t>次，限时</w:t>
      </w:r>
      <w:r>
        <w:rPr>
          <w:rFonts w:ascii="Times New Roman" w:hAnsi="Times New Roman" w:eastAsia="仿宋" w:cs="Times New Roman"/>
          <w:bCs/>
          <w:sz w:val="32"/>
          <w:szCs w:val="32"/>
        </w:rPr>
        <w:t>1</w:t>
      </w:r>
      <w:r>
        <w:rPr>
          <w:rFonts w:ascii="Times New Roman" w:hAnsi="仿宋" w:eastAsia="仿宋" w:cs="Times New Roman"/>
          <w:bCs/>
          <w:sz w:val="32"/>
          <w:szCs w:val="32"/>
        </w:rPr>
        <w:t>小时以内。每件</w:t>
      </w:r>
      <w:r>
        <w:rPr>
          <w:rFonts w:ascii="Times New Roman" w:hAnsi="Times New Roman" w:eastAsia="仿宋" w:cs="Times New Roman"/>
          <w:bCs/>
          <w:sz w:val="32"/>
          <w:szCs w:val="32"/>
        </w:rPr>
        <w:t>/</w:t>
      </w:r>
      <w:r>
        <w:rPr>
          <w:rFonts w:ascii="Times New Roman" w:hAnsi="仿宋" w:eastAsia="仿宋" w:cs="Times New Roman"/>
          <w:bCs/>
          <w:sz w:val="32"/>
          <w:szCs w:val="32"/>
        </w:rPr>
        <w:t>次法律咨询收费的上限为</w:t>
      </w:r>
      <w:r>
        <w:rPr>
          <w:rFonts w:ascii="Times New Roman" w:hAnsi="Times New Roman" w:eastAsia="仿宋" w:cs="Times New Roman"/>
          <w:bCs/>
          <w:sz w:val="32"/>
          <w:szCs w:val="32"/>
        </w:rPr>
        <w:t>30000</w:t>
      </w:r>
      <w:r>
        <w:rPr>
          <w:rFonts w:ascii="Times New Roman" w:hAnsi="仿宋" w:eastAsia="仿宋" w:cs="Times New Roman"/>
          <w:bCs/>
          <w:sz w:val="32"/>
          <w:szCs w:val="32"/>
        </w:rPr>
        <w:t>元</w:t>
      </w:r>
      <w:r>
        <w:rPr>
          <w:rFonts w:ascii="Times New Roman" w:hAnsi="Times New Roman" w:eastAsia="仿宋" w:cs="Times New Roman"/>
          <w:bCs/>
          <w:sz w:val="32"/>
          <w:szCs w:val="32"/>
        </w:rPr>
        <w:t>/</w:t>
      </w:r>
      <w:r>
        <w:rPr>
          <w:rFonts w:ascii="Times New Roman" w:hAnsi="仿宋" w:eastAsia="仿宋" w:cs="Times New Roman"/>
          <w:bCs/>
          <w:sz w:val="32"/>
          <w:szCs w:val="32"/>
        </w:rPr>
        <w:t>次，限时</w:t>
      </w:r>
      <w:r>
        <w:rPr>
          <w:rFonts w:ascii="Times New Roman" w:hAnsi="Times New Roman" w:eastAsia="仿宋" w:cs="Times New Roman"/>
          <w:bCs/>
          <w:sz w:val="32"/>
          <w:szCs w:val="32"/>
        </w:rPr>
        <w:t>1</w:t>
      </w:r>
      <w:r>
        <w:rPr>
          <w:rFonts w:ascii="Times New Roman" w:hAnsi="仿宋" w:eastAsia="仿宋" w:cs="Times New Roman"/>
          <w:bCs/>
          <w:sz w:val="32"/>
          <w:szCs w:val="32"/>
        </w:rPr>
        <w:t>小时以内。</w:t>
      </w:r>
    </w:p>
    <w:p w14:paraId="677F4C8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1778BD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选择计时收费的案件，如涉及涉外（含港、澳、台）案件及重大、疑难、复杂或律师工作量大的民事诉讼、仲裁案件，可以按计时收费标准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586C39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14:paraId="5CCBDB9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对于重大、疑难、复杂或律师工作量大的民事诉讼、仲裁案件，可以在民事诉讼案件一审阶段的收费标准基础上浮不超过</w:t>
      </w:r>
      <w:r>
        <w:rPr>
          <w:rFonts w:ascii="Times New Roman" w:hAnsi="Times New Roman" w:eastAsia="仿宋" w:cs="Times New Roman"/>
          <w:sz w:val="32"/>
          <w:szCs w:val="32"/>
        </w:rPr>
        <w:t>3</w:t>
      </w:r>
      <w:r>
        <w:rPr>
          <w:rFonts w:ascii="Times New Roman" w:hAnsi="仿宋" w:eastAsia="仿宋" w:cs="Times New Roman"/>
          <w:sz w:val="32"/>
          <w:szCs w:val="32"/>
        </w:rPr>
        <w:t>倍（含）收费。下列案件为重大、疑难、复杂民事诉讼、仲裁案件：</w:t>
      </w:r>
    </w:p>
    <w:p w14:paraId="276294C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2E454B0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7E5AF75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738E502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E0B6A0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6CFA6F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E4EF6A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1E71CF5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其他经本所与委托人协商，双方认为属于重大、疑难或复杂的民事诉讼、仲裁案件。</w:t>
      </w:r>
    </w:p>
    <w:p w14:paraId="3CF0B5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26E48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14AAC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2DD2378D">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7AD49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628E9A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A19C44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本所参与投标或国有企事业单位、行政单位对报价或签约价有要求或限制的，可按照该要求或限制确定法律服务费。</w:t>
      </w:r>
    </w:p>
    <w:p w14:paraId="785E800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对办理涉及低收入、农民工、残疾人等弱势群体或者与公益活动有关的法律服务事项，可以酌情减免律师服务费。</w:t>
      </w:r>
    </w:p>
    <w:p w14:paraId="50851AA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4CBD9817">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0F2DB82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全体律师除前述第三十条、第三十一条、第三十二条涉及案件外，其他案件收费应严格按本收费标准执行，不得以争揽业务为目的，通过减收或免收律师服务费吸引委托人，进行低价的不正当竞争。</w:t>
      </w:r>
    </w:p>
    <w:p w14:paraId="6B6C7535">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E9DE53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6EF7004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1823B6E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p>
    <w:p w14:paraId="0AC53F73">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0247B9DE">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CBDCBE3">
      <w:pPr>
        <w:keepNext w:val="0"/>
        <w:keepLines w:val="0"/>
        <w:pageBreakBefore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EAD7">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D2C28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3458"/>
    <w:rsid w:val="00404C3D"/>
    <w:rsid w:val="004128C2"/>
    <w:rsid w:val="004C268B"/>
    <w:rsid w:val="004D1774"/>
    <w:rsid w:val="004D70C4"/>
    <w:rsid w:val="005245C8"/>
    <w:rsid w:val="00557E26"/>
    <w:rsid w:val="00567584"/>
    <w:rsid w:val="005A714A"/>
    <w:rsid w:val="00623CDC"/>
    <w:rsid w:val="00677DBB"/>
    <w:rsid w:val="006C311F"/>
    <w:rsid w:val="006C6CD7"/>
    <w:rsid w:val="006D6BB3"/>
    <w:rsid w:val="00724CFA"/>
    <w:rsid w:val="00751D1A"/>
    <w:rsid w:val="007752D3"/>
    <w:rsid w:val="007B2EEE"/>
    <w:rsid w:val="007D09B9"/>
    <w:rsid w:val="00826D16"/>
    <w:rsid w:val="008542A3"/>
    <w:rsid w:val="00892619"/>
    <w:rsid w:val="008B2C7F"/>
    <w:rsid w:val="008C65AC"/>
    <w:rsid w:val="00912D78"/>
    <w:rsid w:val="00915DD7"/>
    <w:rsid w:val="009928C2"/>
    <w:rsid w:val="00993234"/>
    <w:rsid w:val="009B0D09"/>
    <w:rsid w:val="009B2BF1"/>
    <w:rsid w:val="009C08AA"/>
    <w:rsid w:val="00A40DB8"/>
    <w:rsid w:val="00A5775E"/>
    <w:rsid w:val="00A702DB"/>
    <w:rsid w:val="00A75AA1"/>
    <w:rsid w:val="00B718AA"/>
    <w:rsid w:val="00BB26EC"/>
    <w:rsid w:val="00BF6BC4"/>
    <w:rsid w:val="00C03D2E"/>
    <w:rsid w:val="00C31312"/>
    <w:rsid w:val="00C42A1D"/>
    <w:rsid w:val="00CB26F6"/>
    <w:rsid w:val="00CD5BE8"/>
    <w:rsid w:val="00CE1660"/>
    <w:rsid w:val="00D0276C"/>
    <w:rsid w:val="00D23FC9"/>
    <w:rsid w:val="00D246FF"/>
    <w:rsid w:val="00D40349"/>
    <w:rsid w:val="00D51C2A"/>
    <w:rsid w:val="00D73BEF"/>
    <w:rsid w:val="00D94AA5"/>
    <w:rsid w:val="00DA1D58"/>
    <w:rsid w:val="00DC11B8"/>
    <w:rsid w:val="00E53727"/>
    <w:rsid w:val="00E64635"/>
    <w:rsid w:val="00E7708B"/>
    <w:rsid w:val="00EA5D3A"/>
    <w:rsid w:val="00EF32BA"/>
    <w:rsid w:val="00F618B6"/>
    <w:rsid w:val="00F73074"/>
    <w:rsid w:val="00FB0721"/>
    <w:rsid w:val="00FE2E7F"/>
    <w:rsid w:val="396664A7"/>
    <w:rsid w:val="48E96000"/>
    <w:rsid w:val="53992205"/>
    <w:rsid w:val="55114BEC"/>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4631</Words>
  <Characters>4797</Characters>
  <Lines>35</Lines>
  <Paragraphs>9</Paragraphs>
  <TotalTime>1</TotalTime>
  <ScaleCrop>false</ScaleCrop>
  <LinksUpToDate>false</LinksUpToDate>
  <CharactersWithSpaces>4872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2025-05-23T02:02:56Z</cp:lastPrinted>
  <dcterms:modified xsi:type="dcterms:W3CDTF">2025-05-23T02:03:19Z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