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北京盈科（德阳）律师事务所提交的《北京盈科（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北京盈科（德阳）律师事务所律师服务收费标准</w:t>
      </w:r>
    </w:p>
    <w:p>
      <w:pPr>
        <w:pStyle w:val="6"/>
        <w:spacing w:beforeAutospacing="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widowControl w:val="0"/>
        <w:adjustRightInd w:val="0"/>
        <w:snapToGrid w:val="0"/>
        <w:spacing w:before="0" w:beforeAutospacing="0" w:after="0" w:afterAutospacing="0" w:line="520" w:lineRule="exact"/>
        <w:ind w:firstLine="630" w:firstLineChars="196"/>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widowControl w:val="0"/>
        <w:adjustRightInd w:val="0"/>
        <w:snapToGri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widowControl w:val="0"/>
        <w:adjustRightInd w:val="0"/>
        <w:snapToGrid w:val="0"/>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widowControl w:val="0"/>
        <w:adjustRightInd w:val="0"/>
        <w:snapToGrid w:val="0"/>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widowControl w:val="0"/>
        <w:adjustRightInd w:val="0"/>
        <w:snapToGri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widowControl w:val="0"/>
        <w:adjustRightInd w:val="0"/>
        <w:snapToGrid w:val="0"/>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widowControl w:val="0"/>
        <w:adjustRightInd w:val="0"/>
        <w:snapToGrid w:val="0"/>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widowControl w:val="0"/>
        <w:adjustRightInd w:val="0"/>
        <w:snapToGrid w:val="0"/>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widowControl w:val="0"/>
        <w:adjustRightInd w:val="0"/>
        <w:snapToGrid w:val="0"/>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widowControl w:val="0"/>
        <w:adjustRightInd w:val="0"/>
        <w:snapToGrid w:val="0"/>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widowControl w:val="0"/>
        <w:adjustRightInd w:val="0"/>
        <w:snapToGrid w:val="0"/>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widowControl w:val="0"/>
        <w:adjustRightInd w:val="0"/>
        <w:snapToGrid w:val="0"/>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widowControl w:val="0"/>
        <w:adjustRightInd w:val="0"/>
        <w:snapToGri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widowControl w:val="0"/>
        <w:adjustRightInd w:val="0"/>
        <w:snapToGri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万元以下部分收费比例不超过标的额</w:t>
      </w:r>
      <w:r>
        <w:rPr>
          <w:rFonts w:ascii="Times New Roman" w:hAnsi="Times New Roman" w:eastAsia="仿宋" w:cs="Times New Roman"/>
          <w:sz w:val="32"/>
          <w:szCs w:val="32"/>
        </w:rPr>
        <w:t>10%</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万元部分收费比例不超过标的额</w:t>
      </w:r>
      <w:r>
        <w:rPr>
          <w:rFonts w:ascii="Times New Roman" w:hAnsi="Times New Roman" w:eastAsia="仿宋" w:cs="Times New Roman"/>
          <w:sz w:val="32"/>
          <w:szCs w:val="32"/>
        </w:rPr>
        <w:t>8%</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万元部分收费比例不超过标的额</w:t>
      </w:r>
      <w:r>
        <w:rPr>
          <w:rFonts w:ascii="Times New Roman" w:hAnsi="Times New Roman" w:eastAsia="仿宋" w:cs="Times New Roman"/>
          <w:sz w:val="32"/>
          <w:szCs w:val="32"/>
        </w:rPr>
        <w:t>5%;</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万元以上部分收费比例不超过标的额</w:t>
      </w:r>
      <w:r>
        <w:rPr>
          <w:rFonts w:ascii="Times New Roman" w:hAnsi="Times New Roman" w:eastAsia="仿宋" w:cs="Times New Roman"/>
          <w:sz w:val="32"/>
          <w:szCs w:val="32"/>
        </w:rPr>
        <w:t>3%</w:t>
      </w:r>
      <w:r>
        <w:rPr>
          <w:rFonts w:ascii="Times New Roman" w:hAnsi="仿宋" w:eastAsia="仿宋" w:cs="Times New Roman"/>
          <w:sz w:val="32"/>
          <w:szCs w:val="32"/>
        </w:rPr>
        <w:t>。</w:t>
      </w:r>
    </w:p>
    <w:p>
      <w:pPr>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的优惠。同时代理本诉、本请求和反诉、反请求案件的，反诉、反请求可参考民事诉讼案件一审阶段收费标准进行酌减收费，最低不低于民事诉讼案件一审阶段的</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widowControl w:val="0"/>
        <w:adjustRightInd w:val="0"/>
        <w:snapToGrid w:val="0"/>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w:t>
      </w:r>
      <w:r>
        <w:rPr>
          <w:rFonts w:ascii="Times New Roman" w:hAnsi="Times New Roman" w:eastAsia="仿宋" w:cs="Times New Roman"/>
          <w:sz w:val="32"/>
          <w:szCs w:val="32"/>
        </w:rPr>
        <w:t>50%-80%</w:t>
      </w:r>
      <w:r>
        <w:rPr>
          <w:rFonts w:ascii="Times New Roman" w:hAnsi="仿宋" w:eastAsia="仿宋" w:cs="Times New Roman"/>
          <w:sz w:val="32"/>
          <w:szCs w:val="32"/>
        </w:rPr>
        <w:t>收费；执行难度很大，执行程序复杂的重大执行案件，按一审阶段收费标准收费；代理执行案件也可采用风险代理或计时收费，不得采用风险代理的案件除外。</w:t>
      </w:r>
    </w:p>
    <w:p>
      <w:pPr>
        <w:pStyle w:val="6"/>
        <w:widowControl w:val="0"/>
        <w:adjustRightInd w:val="0"/>
        <w:snapToGri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万元的部分，不超过标的额的</w:t>
      </w:r>
      <w:r>
        <w:rPr>
          <w:rFonts w:ascii="Times New Roman" w:hAnsi="Times New Roman" w:eastAsia="仿宋" w:cs="Times New Roman"/>
          <w:sz w:val="32"/>
          <w:szCs w:val="32"/>
        </w:rPr>
        <w:t>18%;</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万元的部分，不超过标的额的</w:t>
      </w:r>
      <w:r>
        <w:rPr>
          <w:rFonts w:ascii="Times New Roman" w:hAnsi="Times New Roman" w:eastAsia="仿宋" w:cs="Times New Roman"/>
          <w:sz w:val="32"/>
          <w:szCs w:val="32"/>
        </w:rPr>
        <w:t>15%</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万元的部分，不超过标的额的</w:t>
      </w:r>
      <w:r>
        <w:rPr>
          <w:rFonts w:ascii="Times New Roman" w:hAnsi="Times New Roman" w:eastAsia="仿宋" w:cs="Times New Roman"/>
          <w:sz w:val="32"/>
          <w:szCs w:val="32"/>
        </w:rPr>
        <w:t>12%</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万元的部分，不超过标的额的</w:t>
      </w:r>
      <w:r>
        <w:rPr>
          <w:rFonts w:ascii="Times New Roman" w:hAnsi="Times New Roman" w:eastAsia="仿宋" w:cs="Times New Roman"/>
          <w:sz w:val="32"/>
          <w:szCs w:val="32"/>
        </w:rPr>
        <w:t>9%</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万元以上的部分，不超过标的额的</w:t>
      </w:r>
      <w:r>
        <w:rPr>
          <w:rFonts w:ascii="Times New Roman" w:hAnsi="Times New Roman" w:eastAsia="仿宋" w:cs="Times New Roman"/>
          <w:sz w:val="32"/>
          <w:szCs w:val="32"/>
        </w:rPr>
        <w:t>6%</w:t>
      </w:r>
      <w:r>
        <w:rPr>
          <w:rFonts w:ascii="Times New Roman" w:hAnsi="仿宋" w:eastAsia="仿宋" w:cs="Times New Roman"/>
          <w:sz w:val="32"/>
          <w:szCs w:val="32"/>
        </w:rPr>
        <w:t>。</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widowControl w:val="0"/>
        <w:adjustRightInd w:val="0"/>
        <w:snapToGrid w:val="0"/>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widowControl w:val="0"/>
        <w:adjustRightInd w:val="0"/>
        <w:snapToGri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widowControl w:val="0"/>
        <w:adjustRightInd w:val="0"/>
        <w:snapToGrid w:val="0"/>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万元；上述阶段同时由本所律师代理的，可给予优惠；</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adjustRightInd w:val="0"/>
        <w:snapToGrid w:val="0"/>
        <w:spacing w:line="520" w:lineRule="exac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对于上述所有收费标准，可根据案件具体情况、复杂程度，在不违背国家法律相关规定和要求的情况下合理浮动，向下不低于原收费标准的</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，向上不超过原收费标准的</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w:t>
      </w:r>
    </w:p>
    <w:p>
      <w:pPr>
        <w:adjustRightInd w:val="0"/>
        <w:snapToGrid w:val="0"/>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widowControl w:val="0"/>
        <w:adjustRightInd w:val="0"/>
        <w:snapToGrid w:val="0"/>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涉外（含涉港、澳、台）案件的收费标准，原则上按照民事诉讼案件一审阶段的收费标准执行。如果涉及到多语种法律服务的，可以在标准基础上再上浮不超过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对于重大、疑难、复杂及律师工作量大的民事诉讼、仲裁案件，可以在诉讼、非诉、仲裁案件一审阶段的收费标准基础上再上浮不超过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widowControl w:val="0"/>
        <w:adjustRightInd w:val="0"/>
        <w:snapToGrid w:val="0"/>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adjustRightInd w:val="0"/>
        <w:snapToGrid w:val="0"/>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widowControl w:val="0"/>
        <w:adjustRightInd w:val="0"/>
        <w:snapToGri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adjustRightInd w:val="0"/>
        <w:snapToGrid w:val="0"/>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adjustRightInd w:val="0"/>
        <w:snapToGrid w:val="0"/>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adjustRightInd w:val="0"/>
        <w:snapToGrid w:val="0"/>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adjustRightInd w:val="0"/>
        <w:snapToGrid w:val="0"/>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adjustRightInd w:val="0"/>
        <w:snapToGrid w:val="0"/>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全体律师除前述第三十一条、第三十二条涉及案件外，其他案件收费应严格按本收费标准执行，不得以争揽业务为目的，通过减收或免收律师服务费吸引委托人，进行低价的不正当竞争。</w:t>
      </w:r>
    </w:p>
    <w:p>
      <w:pPr>
        <w:adjustRightInd w:val="0"/>
        <w:snapToGrid w:val="0"/>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adjustRightInd w:val="0"/>
        <w:snapToGrid w:val="0"/>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2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仿宋" w:hAnsi="仿宋" w:eastAsia="仿宋"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14469"/>
    <w:rsid w:val="00060B2C"/>
    <w:rsid w:val="00086D6F"/>
    <w:rsid w:val="000A5223"/>
    <w:rsid w:val="00150461"/>
    <w:rsid w:val="00163348"/>
    <w:rsid w:val="001702D6"/>
    <w:rsid w:val="00176683"/>
    <w:rsid w:val="001A517E"/>
    <w:rsid w:val="001B2CA9"/>
    <w:rsid w:val="002644D8"/>
    <w:rsid w:val="0026763C"/>
    <w:rsid w:val="0027034E"/>
    <w:rsid w:val="00287CA0"/>
    <w:rsid w:val="002A714E"/>
    <w:rsid w:val="002A728B"/>
    <w:rsid w:val="002B64F3"/>
    <w:rsid w:val="002B66A4"/>
    <w:rsid w:val="002B67DF"/>
    <w:rsid w:val="002C05CA"/>
    <w:rsid w:val="002E0982"/>
    <w:rsid w:val="002F49BF"/>
    <w:rsid w:val="003248FD"/>
    <w:rsid w:val="003517FF"/>
    <w:rsid w:val="003B4A86"/>
    <w:rsid w:val="00404C3D"/>
    <w:rsid w:val="004128C2"/>
    <w:rsid w:val="004C268B"/>
    <w:rsid w:val="004D1774"/>
    <w:rsid w:val="004D70C4"/>
    <w:rsid w:val="005245C8"/>
    <w:rsid w:val="00557E26"/>
    <w:rsid w:val="005616D0"/>
    <w:rsid w:val="00567584"/>
    <w:rsid w:val="0058196C"/>
    <w:rsid w:val="005D0DA1"/>
    <w:rsid w:val="00677DBB"/>
    <w:rsid w:val="00683980"/>
    <w:rsid w:val="006C311F"/>
    <w:rsid w:val="006C6CD7"/>
    <w:rsid w:val="006D6BB3"/>
    <w:rsid w:val="00751D1A"/>
    <w:rsid w:val="007752D3"/>
    <w:rsid w:val="007B2EEE"/>
    <w:rsid w:val="007D09B9"/>
    <w:rsid w:val="008330EA"/>
    <w:rsid w:val="008542A3"/>
    <w:rsid w:val="00892619"/>
    <w:rsid w:val="008C65AC"/>
    <w:rsid w:val="00912D78"/>
    <w:rsid w:val="00915DD7"/>
    <w:rsid w:val="009928C2"/>
    <w:rsid w:val="009B0D09"/>
    <w:rsid w:val="009B2BF1"/>
    <w:rsid w:val="009C08AA"/>
    <w:rsid w:val="00A40DB8"/>
    <w:rsid w:val="00A5775E"/>
    <w:rsid w:val="00A75AA1"/>
    <w:rsid w:val="00B3573F"/>
    <w:rsid w:val="00B676DB"/>
    <w:rsid w:val="00B718AA"/>
    <w:rsid w:val="00B853DF"/>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85F36"/>
    <w:rsid w:val="00EA5D3A"/>
    <w:rsid w:val="00EF32BA"/>
    <w:rsid w:val="00F618B6"/>
    <w:rsid w:val="00F73074"/>
    <w:rsid w:val="00FB0721"/>
    <w:rsid w:val="00FE2E7F"/>
    <w:rsid w:val="396664A7"/>
    <w:rsid w:val="53992205"/>
    <w:rsid w:val="5CBF615D"/>
    <w:rsid w:val="5E7CB07C"/>
    <w:rsid w:val="6DEFEAF1"/>
    <w:rsid w:val="71624F0F"/>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767</Words>
  <Characters>4372</Characters>
  <Lines>36</Lines>
  <Paragraphs>10</Paragraphs>
  <TotalTime>484</TotalTime>
  <ScaleCrop>false</ScaleCrop>
  <LinksUpToDate>false</LinksUpToDate>
  <CharactersWithSpaces>5129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2024-09-04T09:19:45Z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