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10</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号）及省上相关规定，本会对四川仁泰律师事务所提交的《四川仁泰律师事务所律师服务收费标准》已审查完毕，相关内容符合相关规定，本会同意备案人的备案申请，该收费标准自备案之日起至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四川仁泰律师事务所律师服务收费标准</w:t>
      </w:r>
    </w:p>
    <w:p>
      <w:pPr>
        <w:pStyle w:val="6"/>
        <w:spacing w:beforeAutospacing="0" w:afterAutospacing="0"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Autospacing="0" w:afterAutospacing="0" w:line="50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查档费、保全费、翻译费、异地办案差旅费、跨境通讯费、专家论证费等费用，以及律师事务所代委托人支付的其他费用，不属于律师服务费，由委托人另行支付。</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Autospacing="0" w:afterAutospacing="0" w:line="50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如有）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Autospacing="0" w:afterAutospacing="0" w:line="50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确因交通不便等特殊情况，委托人提出由律师代为收取的，律师应当在代收款项后</w:t>
      </w:r>
      <w:r>
        <w:rPr>
          <w:rFonts w:ascii="Times New Roman" w:hAnsi="Times New Roman" w:eastAsia="仿宋" w:cs="Times New Roman"/>
          <w:kern w:val="2"/>
          <w:sz w:val="32"/>
          <w:szCs w:val="32"/>
        </w:rPr>
        <w:t>3</w:t>
      </w:r>
      <w:r>
        <w:rPr>
          <w:rFonts w:ascii="Times New Roman" w:hAnsi="仿宋" w:eastAsia="仿宋" w:cs="Times New Roman"/>
          <w:kern w:val="2"/>
          <w:sz w:val="32"/>
          <w:szCs w:val="32"/>
        </w:rPr>
        <w:t>个工作日内将律师服务费全额转入律师事务所账户。</w:t>
      </w:r>
    </w:p>
    <w:p>
      <w:pPr>
        <w:pStyle w:val="6"/>
        <w:spacing w:beforeAutospacing="0" w:afterAutospacing="0" w:line="50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0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3000</w:t>
      </w:r>
      <w:r>
        <w:rPr>
          <w:rFonts w:ascii="Times New Roman" w:hAnsi="仿宋" w:eastAsia="仿宋" w:cs="Times New Roman"/>
          <w:sz w:val="32"/>
          <w:szCs w:val="32"/>
        </w:rPr>
        <w:t>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（三）专项事务法律顾问、法律风险评估或论证、运用政策法律法规或者规范性文件进行有关评估论证、合法性审查、法律意见书、尽职调查、法律培训等，不涉及财产的，可按件收费，每件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（五）其他与委托人协商一致的非诉讼服务事项，律师服务费与委托人协商一致为准。</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600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0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8000</w:t>
      </w:r>
      <w:r>
        <w:rPr>
          <w:rFonts w:ascii="Times New Roman" w:hAnsi="仿宋" w:eastAsia="仿宋" w:cs="Times New Roman"/>
          <w:sz w:val="32"/>
          <w:szCs w:val="32"/>
        </w:rPr>
        <w:t>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w:t>
      </w:r>
    </w:p>
    <w:p>
      <w:pPr>
        <w:pStyle w:val="6"/>
        <w:spacing w:before="0" w:beforeAutospacing="0" w:after="0" w:afterAutospacing="0" w:line="50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涉及财产利益关系的法律事务，如系诉讼事务等，则在每个独立的诉讼阶段中，可按案件争议标的额金额的一定比例分段累计收费，具体如下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4%-6%</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3%-5%</w:t>
      </w:r>
      <w:r>
        <w:rPr>
          <w:rFonts w:ascii="Times New Roman" w:hAnsi="仿宋" w:eastAsia="仿宋" w:cs="Times New Roman"/>
          <w:sz w:val="32"/>
          <w:szCs w:val="32"/>
        </w:rPr>
        <w:t>；</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2%-4%;</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30%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20%</w:t>
      </w:r>
      <w:r>
        <w:rPr>
          <w:rFonts w:ascii="Times New Roman" w:hAnsi="仿宋" w:eastAsia="仿宋" w:cs="Times New Roman"/>
          <w:sz w:val="32"/>
          <w:szCs w:val="32"/>
        </w:rPr>
        <w:t>的优惠。</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投融资、上市、并购、重组、改制、破产、清算、公司设立、公司治理结构设计、股权及债权债务转让等，参照第十二条标准收费，国家如有相关规定的从其规定予以收费。</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10%-30%</w:t>
      </w:r>
      <w:r>
        <w:rPr>
          <w:rFonts w:ascii="Times New Roman" w:hAnsi="仿宋" w:eastAsia="仿宋" w:cs="Times New Roman"/>
          <w:sz w:val="32"/>
          <w:szCs w:val="32"/>
        </w:rPr>
        <w:t>收费。</w:t>
      </w:r>
    </w:p>
    <w:p>
      <w:pPr>
        <w:pStyle w:val="6"/>
        <w:spacing w:beforeAutospacing="0" w:afterAutospacing="0" w:line="500" w:lineRule="exact"/>
        <w:ind w:firstLine="640" w:firstLineChars="200"/>
        <w:jc w:val="both"/>
        <w:rPr>
          <w:rFonts w:ascii="Times New Roman" w:hAnsi="Times New Roman" w:eastAsia="仿宋" w:cs="Times New Roman"/>
          <w:sz w:val="32"/>
          <w:szCs w:val="32"/>
        </w:rPr>
      </w:pPr>
      <w:r>
        <w:rPr>
          <w:rFonts w:ascii="Times New Roman" w:hAnsi="仿宋" w:eastAsia="仿宋" w:cs="Times New Roman"/>
          <w:sz w:val="32"/>
          <w:szCs w:val="32"/>
        </w:rPr>
        <w:t>代理执行案件也可采用风险代理或计时收费，但刑事诉讼案件；行政诉讼案件；国家赔偿案件；群体性诉讼案；婚姻继承案件；请求给予社会保险待遇、最低生活保障待遇、赡养费、抚养费、扶养费、抚恤金、救济金、工伤赔偿、劳动报酬的案件除外。</w:t>
      </w:r>
    </w:p>
    <w:p>
      <w:pPr>
        <w:pStyle w:val="6"/>
        <w:spacing w:before="0" w:beforeAutospacing="0" w:after="0" w:afterAutospacing="0" w:line="50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Autospacing="0" w:afterAutospacing="0" w:line="50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0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0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审查起诉阶段：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发回重审（一审阶段）：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发回重审（二审阶段）：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代为提起刑事申诉：</w:t>
      </w:r>
      <w:r>
        <w:rPr>
          <w:rFonts w:ascii="Times New Roman" w:hAnsi="Times New Roman" w:eastAsia="仿宋" w:cs="Times New Roman"/>
          <w:sz w:val="32"/>
          <w:szCs w:val="32"/>
        </w:rPr>
        <w:t>3</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再审案件（一审阶段）：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ascii="Times New Roman" w:hAnsi="仿宋" w:eastAsia="仿宋" w:cs="Times New Roman"/>
          <w:sz w:val="32"/>
          <w:szCs w:val="32"/>
        </w:rPr>
        <w:t>再审案件（二审阶段）：</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w:t>
      </w: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8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不能采取或变相采取风险代理收费的（二）至（六）项参照本标准中民事诉讼收费标准予以收取。</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3</w:t>
      </w:r>
      <w:r>
        <w:rPr>
          <w:rFonts w:ascii="Times New Roman" w:hAnsi="仿宋" w:eastAsia="仿宋" w:cs="Times New Roman"/>
          <w:sz w:val="32"/>
          <w:szCs w:val="32"/>
        </w:rPr>
        <w:t>至</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选择计时收费的案件，如涉及涉外（含港、澳、台）案件及重大、疑难、复杂及律师工作量大的民事诉讼、仲裁案件，可以在计时收费标准中基础上再上浮不超过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涉外（含涉港、澳、台）案件的收费标准，原则上按照本收费标准上浮不超过</w:t>
      </w:r>
      <w:r>
        <w:rPr>
          <w:rFonts w:ascii="Times New Roman" w:hAnsi="Times New Roman" w:eastAsia="仿宋" w:cs="Times New Roman"/>
          <w:sz w:val="32"/>
          <w:szCs w:val="32"/>
        </w:rPr>
        <w:t>200%</w:t>
      </w:r>
      <w:r>
        <w:rPr>
          <w:rFonts w:ascii="Times New Roman" w:hAnsi="仿宋" w:eastAsia="仿宋" w:cs="Times New Roman"/>
          <w:sz w:val="32"/>
          <w:szCs w:val="32"/>
        </w:rPr>
        <w:t>执行。如果涉及到多语种法律服务的，可以在标准基础上再上浮不超过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倍收费。经委托人同意，也可以由本所参照外国或港、澳、台地区律师事务所驻我国代表机构办理同类法律事务的收费标准，与委托人协商确定收费数额。</w:t>
      </w:r>
    </w:p>
    <w:p>
      <w:pPr>
        <w:spacing w:line="58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4</w:t>
      </w:r>
      <w:r>
        <w:rPr>
          <w:rFonts w:ascii="Times New Roman" w:hAnsi="仿宋" w:eastAsia="仿宋" w:cs="Times New Roman"/>
          <w:sz w:val="32"/>
          <w:szCs w:val="32"/>
        </w:rPr>
        <w:t>倍收费。下列案件为重大、疑难、复杂民事诉讼、仲裁案件：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8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1.5</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0" w:beforeAutospacing="0" w:after="0" w:afterAutospacing="0" w:line="50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代理民事申诉案件亦可按本收费标准进行风险代理或者计时收费，但刑事诉讼案件；行政诉讼案件；国家赔偿案件；群体性诉讼案；婚姻继承案件；请求给予社会保险待遇、最低生活保障待遇、赡养费、抚养费、扶养费、抚恤金、救济金、工伤赔偿、劳动报酬的案件除外。</w:t>
      </w:r>
    </w:p>
    <w:p>
      <w:pPr>
        <w:pStyle w:val="6"/>
        <w:spacing w:beforeAutospacing="0" w:afterAutospacing="0" w:line="50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2</w:t>
      </w:r>
      <w:r>
        <w:rPr>
          <w:rFonts w:ascii="Times New Roman" w:hAnsi="仿宋" w:eastAsia="仿宋" w:cs="Times New Roman"/>
          <w:sz w:val="32"/>
          <w:szCs w:val="32"/>
        </w:rPr>
        <w:t>至</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0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spacing w:line="500" w:lineRule="exact"/>
        <w:ind w:firstLine="643" w:firstLineChars="200"/>
        <w:jc w:val="left"/>
        <w:rPr>
          <w:rFonts w:ascii="Times New Roman" w:hAnsi="Times New Roman" w:eastAsia="仿宋" w:cs="Times New Roman"/>
          <w:b/>
          <w:bCs/>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kern w:val="0"/>
          <w:sz w:val="32"/>
          <w:szCs w:val="32"/>
        </w:rPr>
        <w:t>委托人选定或要求本所指派四川省律师协会评选的专业律师或具有中、高级职称的律师办理或参与办理的案件（除风险代理外），可按本收费标准上浮</w:t>
      </w:r>
      <w:r>
        <w:rPr>
          <w:rFonts w:ascii="Times New Roman" w:hAnsi="Times New Roman" w:eastAsia="仿宋" w:cs="Times New Roman"/>
          <w:kern w:val="0"/>
          <w:sz w:val="32"/>
          <w:szCs w:val="32"/>
        </w:rPr>
        <w:t>20%</w:t>
      </w:r>
      <w:r>
        <w:rPr>
          <w:rFonts w:ascii="Times New Roman" w:hAnsi="仿宋" w:eastAsia="仿宋" w:cs="Times New Roman"/>
          <w:kern w:val="0"/>
          <w:sz w:val="32"/>
          <w:szCs w:val="32"/>
        </w:rPr>
        <w:t>至</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倍收费。</w:t>
      </w:r>
    </w:p>
    <w:p>
      <w:pPr>
        <w:widowControl/>
        <w:spacing w:line="50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0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0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0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全体律师除前述第三十二条、第三十三条涉及案件外，其他案件收费应严格按本收费标准执行，不得以争揽业务为目的，通过减收或免收律师服务费吸引委托人，进行低价的不正当竞争。</w:t>
      </w:r>
    </w:p>
    <w:p>
      <w:pPr>
        <w:widowControl/>
        <w:spacing w:line="50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0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第三十五条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本收费标准应当按照相关规定予以备案，并在所内以公开方式公布已备案的律师服务收费标准，律师事务所全体律师严格遵照执行，并接受社会监督。</w:t>
      </w:r>
    </w:p>
    <w:p>
      <w:pPr>
        <w:widowControl/>
        <w:spacing w:line="50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第三十六条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Times New Roman" w:hAnsi="Times New Roman" w:eastAsia="仿宋" w:cs="Times New Roman"/>
          <w:sz w:val="32"/>
          <w:szCs w:val="32"/>
        </w:rPr>
      </w:pPr>
    </w:p>
    <w:p>
      <w:pPr>
        <w:spacing w:line="520" w:lineRule="exact"/>
        <w:ind w:right="640"/>
        <w:rPr>
          <w:rFonts w:ascii="Times New Roman" w:hAnsi="Times New Roman" w:eastAsia="仿宋" w:cs="Times New Roman"/>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44B4F"/>
    <w:rsid w:val="00150461"/>
    <w:rsid w:val="00163348"/>
    <w:rsid w:val="001702D6"/>
    <w:rsid w:val="00176683"/>
    <w:rsid w:val="001A3E74"/>
    <w:rsid w:val="001B2CA9"/>
    <w:rsid w:val="002644D8"/>
    <w:rsid w:val="0026763C"/>
    <w:rsid w:val="00287CA0"/>
    <w:rsid w:val="002A714E"/>
    <w:rsid w:val="002A728B"/>
    <w:rsid w:val="002B64F3"/>
    <w:rsid w:val="002B66A4"/>
    <w:rsid w:val="002E0982"/>
    <w:rsid w:val="002F49BF"/>
    <w:rsid w:val="003517FF"/>
    <w:rsid w:val="003B4A86"/>
    <w:rsid w:val="00404C3D"/>
    <w:rsid w:val="004128C2"/>
    <w:rsid w:val="004C268B"/>
    <w:rsid w:val="004D1774"/>
    <w:rsid w:val="004D70C4"/>
    <w:rsid w:val="005245C8"/>
    <w:rsid w:val="00526D2B"/>
    <w:rsid w:val="00531628"/>
    <w:rsid w:val="00557E26"/>
    <w:rsid w:val="00567584"/>
    <w:rsid w:val="00677DBB"/>
    <w:rsid w:val="006B0DE9"/>
    <w:rsid w:val="006B2C17"/>
    <w:rsid w:val="006C311F"/>
    <w:rsid w:val="006C6CD7"/>
    <w:rsid w:val="006D6BB3"/>
    <w:rsid w:val="00751D1A"/>
    <w:rsid w:val="007752D3"/>
    <w:rsid w:val="007B2EEE"/>
    <w:rsid w:val="007D09B9"/>
    <w:rsid w:val="008542A3"/>
    <w:rsid w:val="00892619"/>
    <w:rsid w:val="008C65AC"/>
    <w:rsid w:val="00912D78"/>
    <w:rsid w:val="00915DD7"/>
    <w:rsid w:val="009928C2"/>
    <w:rsid w:val="009B0D09"/>
    <w:rsid w:val="009B2BF1"/>
    <w:rsid w:val="009C08AA"/>
    <w:rsid w:val="00A40DB8"/>
    <w:rsid w:val="00A5775E"/>
    <w:rsid w:val="00A75AA1"/>
    <w:rsid w:val="00B718AA"/>
    <w:rsid w:val="00BB26EC"/>
    <w:rsid w:val="00BF6BC4"/>
    <w:rsid w:val="00C31312"/>
    <w:rsid w:val="00C42A1D"/>
    <w:rsid w:val="00C86341"/>
    <w:rsid w:val="00CB26F6"/>
    <w:rsid w:val="00CE1660"/>
    <w:rsid w:val="00D0276C"/>
    <w:rsid w:val="00D23FC9"/>
    <w:rsid w:val="00D246FF"/>
    <w:rsid w:val="00D40349"/>
    <w:rsid w:val="00D94AA5"/>
    <w:rsid w:val="00DC11B8"/>
    <w:rsid w:val="00E53727"/>
    <w:rsid w:val="00E64635"/>
    <w:rsid w:val="00E7708B"/>
    <w:rsid w:val="00EA5D3A"/>
    <w:rsid w:val="00EF32BA"/>
    <w:rsid w:val="00F618B6"/>
    <w:rsid w:val="00F73074"/>
    <w:rsid w:val="00FB0721"/>
    <w:rsid w:val="00FE2E7F"/>
    <w:rsid w:val="396664A7"/>
    <w:rsid w:val="53992205"/>
    <w:rsid w:val="5CBF615D"/>
    <w:rsid w:val="5E7CB07C"/>
    <w:rsid w:val="6336132A"/>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qFormat/>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795</Words>
  <Characters>4534</Characters>
  <Lines>37</Lines>
  <Paragraphs>10</Paragraphs>
  <TotalTime>481</TotalTime>
  <ScaleCrop>false</ScaleCrop>
  <LinksUpToDate>false</LinksUpToDate>
  <CharactersWithSpaces>5319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2024-09-03T02:41:22Z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